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CE6CB7" w:rsidRPr="00D405A2" w:rsidRDefault="00CE6CB7" w:rsidP="00CE6CB7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Nedílnou součástí výkonu státního požárního dozoru je i zjišťování příčin vzniku požárů. Za období od 1. 1. do 31. 12. 2021 bylo na operační středisko HZS Jihočeského kraje nahlášeno </w:t>
      </w:r>
      <w:r w:rsidRPr="00D405A2">
        <w:rPr>
          <w:rFonts w:ascii="Candara" w:hAnsi="Candara"/>
          <w:b/>
          <w:i/>
        </w:rPr>
        <w:t>celkem 956 požárů</w:t>
      </w:r>
      <w:r w:rsidRPr="00D405A2">
        <w:rPr>
          <w:rFonts w:ascii="Candara" w:hAnsi="Candara"/>
        </w:rPr>
        <w:t>, které způsobily přímou hmotnou škodu ve výši 182.300.000,- Kč.</w:t>
      </w:r>
      <w:r w:rsidRPr="00D405A2">
        <w:t xml:space="preserve"> </w:t>
      </w:r>
    </w:p>
    <w:p w:rsidR="00CE6CB7" w:rsidRPr="00D405A2" w:rsidRDefault="00CE6CB7" w:rsidP="00CE6CB7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>Nejčastější příčinou vzniku požáru bylo nedbalostní jednání osob (306 požárů). Při těchto požárech byla způsobena přímá škoda ve výši 76.113.700,- Kč. Z celkového počtu požárů tyto události představují 32,02 % a bylo při nich zraněno 27 osob a usmrceny 2 osoby.</w:t>
      </w:r>
      <w:r w:rsidRPr="00D405A2">
        <w:t xml:space="preserve"> </w:t>
      </w:r>
    </w:p>
    <w:p w:rsidR="00CE6CB7" w:rsidRPr="00D405A2" w:rsidRDefault="00CE6CB7" w:rsidP="00CE6CB7">
      <w:pPr>
        <w:pStyle w:val="Mjodstavec"/>
        <w:rPr>
          <w:rFonts w:ascii="Candara" w:hAnsi="Candara"/>
        </w:rPr>
      </w:pPr>
      <w:r w:rsidRPr="00D405A2">
        <w:rPr>
          <w:rFonts w:ascii="Candara" w:hAnsi="Candara"/>
          <w:noProof/>
        </w:rPr>
        <w:drawing>
          <wp:anchor distT="0" distB="0" distL="114300" distR="114300" simplePos="0" relativeHeight="251659264" behindDoc="0" locked="0" layoutInCell="1" allowOverlap="1" wp14:anchorId="352BF393" wp14:editId="722C2D69">
            <wp:simplePos x="0" y="0"/>
            <wp:positionH relativeFrom="column">
              <wp:posOffset>2773045</wp:posOffset>
            </wp:positionH>
            <wp:positionV relativeFrom="paragraph">
              <wp:posOffset>51435</wp:posOffset>
            </wp:positionV>
            <wp:extent cx="3778885" cy="1939290"/>
            <wp:effectExtent l="0" t="0" r="12065" b="22860"/>
            <wp:wrapSquare wrapText="bothSides"/>
            <wp:docPr id="9" name="Graf 9" title="POČET POŽÁRŮ ZA ÚO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05A2">
        <w:rPr>
          <w:rFonts w:ascii="Candara" w:hAnsi="Candara"/>
        </w:rPr>
        <w:t xml:space="preserve">Druhou nejčastější příčinou vzniku požárů byly technické závady (204 požárů). U těchto požárů byla způsobena přímá škoda ve výši 75.711.900,- Kč. Požáry způsobené technickými závadami představují 21,34 % z celkového počtu požárů a bylo při nich zraněno 18 osob a usmrcena 1 osoba.  </w:t>
      </w:r>
    </w:p>
    <w:p w:rsidR="00CE6CB7" w:rsidRPr="00D405A2" w:rsidRDefault="00CE6CB7" w:rsidP="00CE6CB7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>Nejvíce požárů bylo evidováno v okrese České Budějovice, a to 242, nejméně požárů bylo evidováno v okrese Prachatice, a to 88.</w:t>
      </w:r>
    </w:p>
    <w:p w:rsidR="00CE6CB7" w:rsidRPr="00D405A2" w:rsidRDefault="00CE6CB7" w:rsidP="00CE6CB7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>V roce 2021 zemřely v Jihočeském kraji v souvislosti s požáry celkem 3 osoby, zranění utrpělo 65 osob. Včasnými a účinnými zásahy jednotek požární ochrany byl při požárech uchráněn majetek v celkové výši 362.892.000,- Kč.</w:t>
      </w:r>
    </w:p>
    <w:p w:rsidR="007F3167" w:rsidRPr="00D2356B" w:rsidRDefault="007F3167" w:rsidP="00B904D6">
      <w:pPr>
        <w:pStyle w:val="Mjodstavec"/>
      </w:pP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67"/>
    <w:rsid w:val="001934FD"/>
    <w:rsid w:val="007028BF"/>
    <w:rsid w:val="007806DC"/>
    <w:rsid w:val="007F3167"/>
    <w:rsid w:val="00B904D6"/>
    <w:rsid w:val="00CB3773"/>
    <w:rsid w:val="00CC53D4"/>
    <w:rsid w:val="00CE6CB7"/>
    <w:rsid w:val="00DD6022"/>
    <w:rsid w:val="00E7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ED4FC-A70E-44D0-AE70-731B0DB0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800">
                <a:solidFill>
                  <a:schemeClr val="bg1">
                    <a:lumMod val="75000"/>
                  </a:schemeClr>
                </a:solidFill>
              </a:rPr>
              <a:t>POČET</a:t>
            </a:r>
            <a:r>
              <a:rPr lang="cs-CZ" sz="800" baseline="0">
                <a:solidFill>
                  <a:schemeClr val="bg1">
                    <a:lumMod val="75000"/>
                  </a:schemeClr>
                </a:solidFill>
              </a:rPr>
              <a:t> POŽÁRŮ ZA ÚO</a:t>
            </a:r>
            <a:endParaRPr lang="cs-CZ" sz="800">
              <a:solidFill>
                <a:schemeClr val="bg1">
                  <a:lumMod val="75000"/>
                </a:schemeClr>
              </a:solidFill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4137932801114814"/>
          <c:y val="0.15765897416685876"/>
          <c:w val="0.70656042789241724"/>
          <c:h val="0.669063097951840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Sloupec1</c:v>
                </c:pt>
              </c:strCache>
            </c:strRef>
          </c:tx>
          <c:invertIfNegative val="0"/>
          <c:cat>
            <c:strRef>
              <c:f>List1!$A$2:$A$8</c:f>
              <c:strCache>
                <c:ptCount val="7"/>
                <c:pt idx="0">
                  <c:v>Tábor</c:v>
                </c:pt>
                <c:pt idx="1">
                  <c:v>Strakonice</c:v>
                </c:pt>
                <c:pt idx="2">
                  <c:v>Prachatice</c:v>
                </c:pt>
                <c:pt idx="3">
                  <c:v>Písek</c:v>
                </c:pt>
                <c:pt idx="4">
                  <c:v>Jindřichův Hradec</c:v>
                </c:pt>
                <c:pt idx="5">
                  <c:v>Český Krumlov</c:v>
                </c:pt>
                <c:pt idx="6">
                  <c:v>České Budějovice</c:v>
                </c:pt>
              </c:strCache>
            </c:strRef>
          </c:cat>
          <c:val>
            <c:numRef>
              <c:f>List1!$B$2:$B$8</c:f>
              <c:numCache>
                <c:formatCode>General</c:formatCode>
                <c:ptCount val="7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DE-4A7D-9518-8BDDB6318039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Řada 2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1.301301173092268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DE-4A7D-9518-8BDDB6318039}"/>
                </c:ext>
              </c:extLst>
            </c:dLbl>
            <c:dLbl>
              <c:idx val="2"/>
              <c:layout>
                <c:manualLayout>
                  <c:x val="-9.762258513362064E-3"/>
                  <c:y val="-5.7284529962305906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2DE-4A7D-9518-8BDDB6318039}"/>
                </c:ext>
              </c:extLst>
            </c:dLbl>
            <c:dLbl>
              <c:idx val="6"/>
              <c:layout>
                <c:manualLayout>
                  <c:x val="-5.8558552789151945E-2"/>
                  <c:y val="3.63186501129881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DE-4A7D-9518-8BDDB63180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 b="1">
                    <a:solidFill>
                      <a:schemeClr val="bg1">
                        <a:lumMod val="75000"/>
                      </a:schemeClr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List1!$A$2:$A$8</c:f>
              <c:strCache>
                <c:ptCount val="7"/>
                <c:pt idx="0">
                  <c:v>Tábor</c:v>
                </c:pt>
                <c:pt idx="1">
                  <c:v>Strakonice</c:v>
                </c:pt>
                <c:pt idx="2">
                  <c:v>Prachatice</c:v>
                </c:pt>
                <c:pt idx="3">
                  <c:v>Písek</c:v>
                </c:pt>
                <c:pt idx="4">
                  <c:v>Jindřichův Hradec</c:v>
                </c:pt>
                <c:pt idx="5">
                  <c:v>Český Krumlov</c:v>
                </c:pt>
                <c:pt idx="6">
                  <c:v>České Budějovice</c:v>
                </c:pt>
              </c:strCache>
            </c:strRef>
          </c:cat>
          <c:val>
            <c:numRef>
              <c:f>List1!$C$2:$C$8</c:f>
              <c:numCache>
                <c:formatCode>General</c:formatCode>
                <c:ptCount val="7"/>
                <c:pt idx="0">
                  <c:v>135</c:v>
                </c:pt>
                <c:pt idx="1">
                  <c:v>95</c:v>
                </c:pt>
                <c:pt idx="2">
                  <c:v>88</c:v>
                </c:pt>
                <c:pt idx="3">
                  <c:v>104</c:v>
                </c:pt>
                <c:pt idx="4">
                  <c:v>148</c:v>
                </c:pt>
                <c:pt idx="5">
                  <c:v>144</c:v>
                </c:pt>
                <c:pt idx="6">
                  <c:v>242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2DE-4A7D-9518-8BDDB6318039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Sloupec2</c:v>
                </c:pt>
              </c:strCache>
            </c:strRef>
          </c:tx>
          <c:invertIfNegative val="0"/>
          <c:cat>
            <c:strRef>
              <c:f>List1!$A$2:$A$8</c:f>
              <c:strCache>
                <c:ptCount val="7"/>
                <c:pt idx="0">
                  <c:v>Tábor</c:v>
                </c:pt>
                <c:pt idx="1">
                  <c:v>Strakonice</c:v>
                </c:pt>
                <c:pt idx="2">
                  <c:v>Prachatice</c:v>
                </c:pt>
                <c:pt idx="3">
                  <c:v>Písek</c:v>
                </c:pt>
                <c:pt idx="4">
                  <c:v>Jindřichův Hradec</c:v>
                </c:pt>
                <c:pt idx="5">
                  <c:v>Český Krumlov</c:v>
                </c:pt>
                <c:pt idx="6">
                  <c:v>České Budějovice</c:v>
                </c:pt>
              </c:strCache>
            </c:strRef>
          </c:cat>
          <c:val>
            <c:numRef>
              <c:f>List1!$D$2:$D$8</c:f>
              <c:numCache>
                <c:formatCode>General</c:formatCode>
                <c:ptCount val="7"/>
              </c:numCache>
            </c:numRef>
          </c:val>
          <c:extLst>
            <c:ext xmlns:c16="http://schemas.microsoft.com/office/drawing/2014/chart" uri="{C3380CC4-5D6E-409C-BE32-E72D297353CC}">
              <c16:uniqueId val="{00000005-C2DE-4A7D-9518-8BDDB63180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15362432"/>
        <c:axId val="115376512"/>
      </c:barChart>
      <c:catAx>
        <c:axId val="11536243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800" baseline="0">
                <a:solidFill>
                  <a:schemeClr val="bg1">
                    <a:lumMod val="50000"/>
                  </a:schemeClr>
                </a:solidFill>
                <a:latin typeface="Candara" panose="020E0502030303020204" pitchFamily="34" charset="0"/>
              </a:defRPr>
            </a:pPr>
            <a:endParaRPr lang="cs-CZ"/>
          </a:p>
        </c:txPr>
        <c:crossAx val="115376512"/>
        <c:crosses val="autoZero"/>
        <c:auto val="1"/>
        <c:lblAlgn val="ctr"/>
        <c:lblOffset val="100"/>
        <c:noMultiLvlLbl val="0"/>
      </c:catAx>
      <c:valAx>
        <c:axId val="115376512"/>
        <c:scaling>
          <c:orientation val="minMax"/>
          <c:max val="250"/>
        </c:scaling>
        <c:delete val="0"/>
        <c:axPos val="b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600" b="1" baseline="0">
                <a:solidFill>
                  <a:schemeClr val="bg1">
                    <a:lumMod val="75000"/>
                  </a:schemeClr>
                </a:solidFill>
                <a:latin typeface="Arial" panose="020B0604020202020204" pitchFamily="34" charset="0"/>
                <a:cs typeface="Times New Roman" panose="02020603050405020304" pitchFamily="18" charset="0"/>
              </a:defRPr>
            </a:pPr>
            <a:endParaRPr lang="cs-CZ"/>
          </a:p>
        </c:txPr>
        <c:crossAx val="11536243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solidFill>
        <a:schemeClr val="bg1">
          <a:lumMod val="85000"/>
        </a:schemeClr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2022-03-09T14:10:00Z</dcterms:created>
  <dcterms:modified xsi:type="dcterms:W3CDTF">2022-03-09T14:10:00Z</dcterms:modified>
</cp:coreProperties>
</file>