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2D2" w:rsidRPr="00305302" w:rsidRDefault="005D42D2" w:rsidP="005D42D2">
      <w:pPr>
        <w:pStyle w:val="Nadpis2"/>
        <w:spacing w:after="120"/>
        <w:jc w:val="center"/>
        <w:rPr>
          <w:rFonts w:ascii="Times New Roman" w:hAnsi="Times New Roman"/>
        </w:rPr>
      </w:pPr>
      <w:bookmarkStart w:id="0" w:name="_Toc287963459"/>
      <w:r w:rsidRPr="00305302">
        <w:rPr>
          <w:rFonts w:ascii="Times New Roman" w:hAnsi="Times New Roman"/>
        </w:rPr>
        <w:t>Výkon státního požárního dozoru</w:t>
      </w:r>
      <w:bookmarkEnd w:id="0"/>
    </w:p>
    <w:p w:rsidR="000E20F5" w:rsidRPr="00D405A2" w:rsidRDefault="000E20F5" w:rsidP="000E20F5">
      <w:pPr>
        <w:pStyle w:val="Mjodstavec"/>
      </w:pPr>
      <w:bookmarkStart w:id="1" w:name="_Toc287963460"/>
      <w:r w:rsidRPr="00D405A2">
        <w:rPr>
          <w:rFonts w:ascii="Candara" w:hAnsi="Candara"/>
        </w:rPr>
        <w:t xml:space="preserve">Na výkonu státního požárního dozoru ve smyslu § 31 zákona </w:t>
      </w:r>
      <w:r>
        <w:rPr>
          <w:rFonts w:ascii="Candara" w:hAnsi="Candara"/>
        </w:rPr>
        <w:t xml:space="preserve">č. 133/1985 Sb., </w:t>
      </w:r>
      <w:r w:rsidRPr="00D405A2">
        <w:rPr>
          <w:rFonts w:ascii="Candara" w:hAnsi="Candara"/>
        </w:rPr>
        <w:t>o požární ochraně</w:t>
      </w:r>
      <w:r>
        <w:rPr>
          <w:rFonts w:ascii="Candara" w:hAnsi="Candara"/>
        </w:rPr>
        <w:t xml:space="preserve"> (dále jen „zákon o požární ochraně“), ve znění pozdějších předpisů,</w:t>
      </w:r>
      <w:r w:rsidRPr="00D405A2">
        <w:rPr>
          <w:rFonts w:ascii="Candara" w:hAnsi="Candara"/>
        </w:rPr>
        <w:t xml:space="preserve"> se podílí oddělení stavební prevence, kontrolní činnosti a zjišťování příčin vzniku požárů Krajského ředitelství HZS Jihočeského kraje v počtu 14 příslušníků, přičemž tito příslušníci vykonávají státní požární dozor i pro území okresu České Budějovice. Dále se na výkonu státního požárního dozoru podílí příslušníci pracovišť prevence, ochrany obyvatelstva a krizového řízení územních odborů HZS Jihočeského kraje, která jsou dislokována na územích okresů Český Krumlov, Jindřichův Hradec, Písek, Prachatice, Strakonice a Tábor v celkovém počtu 31 příslušníků.</w:t>
      </w:r>
      <w:r w:rsidRPr="00D405A2">
        <w:t xml:space="preserve"> </w:t>
      </w:r>
    </w:p>
    <w:p w:rsidR="000E20F5" w:rsidRDefault="000E20F5" w:rsidP="000E20F5">
      <w:pPr>
        <w:pStyle w:val="Mjodstavec"/>
        <w:rPr>
          <w:rFonts w:ascii="Candara" w:hAnsi="Candara"/>
          <w:b/>
          <w:i/>
          <w:sz w:val="22"/>
        </w:rPr>
      </w:pPr>
      <w:r>
        <w:rPr>
          <w:rFonts w:ascii="Candara" w:hAnsi="Candara"/>
          <w:b/>
          <w:i/>
          <w:sz w:val="22"/>
        </w:rPr>
        <w:t>Tabulka č. 1: Vyhodnocení činnosti oddělení stavební prevence, kontrolní činnosti a zjišťování příčin vzniku požáru a pracoviště prevence, ochrany obyvatelstva a krizového řízení územních odborů v rámci výkonu státního požárního dozoru za rok 2021</w:t>
      </w:r>
      <w:r>
        <w:rPr>
          <w:rStyle w:val="Znakapoznpodarou"/>
          <w:rFonts w:ascii="Candara" w:hAnsi="Candara"/>
          <w:b/>
          <w:i/>
          <w:sz w:val="22"/>
        </w:rPr>
        <w:footnoteReference w:id="1"/>
      </w:r>
    </w:p>
    <w:tbl>
      <w:tblPr>
        <w:tblW w:w="918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760"/>
        <w:gridCol w:w="3420"/>
      </w:tblGrid>
      <w:tr w:rsidR="000E20F5" w:rsidTr="008F7698">
        <w:trPr>
          <w:trHeight w:val="418"/>
          <w:jc w:val="center"/>
        </w:trPr>
        <w:tc>
          <w:tcPr>
            <w:tcW w:w="5760" w:type="dxa"/>
            <w:tcBorders>
              <w:top w:val="single" w:sz="12" w:space="0" w:color="000000"/>
              <w:bottom w:val="single" w:sz="12" w:space="0" w:color="000000"/>
            </w:tcBorders>
            <w:shd w:val="clear" w:color="auto" w:fill="A8D4AF"/>
            <w:noWrap/>
            <w:tcMar>
              <w:top w:w="15" w:type="dxa"/>
              <w:left w:w="15" w:type="dxa"/>
              <w:bottom w:w="0" w:type="dxa"/>
              <w:right w:w="15" w:type="dxa"/>
            </w:tcMar>
            <w:vAlign w:val="center"/>
          </w:tcPr>
          <w:p w:rsidR="000E20F5" w:rsidRDefault="000E20F5" w:rsidP="008F7698">
            <w:pPr>
              <w:spacing w:line="300" w:lineRule="exact"/>
              <w:rPr>
                <w:rFonts w:ascii="Candara" w:hAnsi="Candara"/>
                <w:b/>
                <w:bCs/>
                <w:sz w:val="22"/>
              </w:rPr>
            </w:pPr>
            <w:r>
              <w:rPr>
                <w:rFonts w:ascii="Candara" w:hAnsi="Candara"/>
                <w:b/>
                <w:bCs/>
                <w:sz w:val="22"/>
              </w:rPr>
              <w:t>Počet akcí v rámci výkonu SPD:</w:t>
            </w:r>
          </w:p>
        </w:tc>
        <w:tc>
          <w:tcPr>
            <w:tcW w:w="3420" w:type="dxa"/>
            <w:tcBorders>
              <w:top w:val="single" w:sz="12" w:space="0" w:color="000000"/>
              <w:bottom w:val="single" w:sz="12" w:space="0" w:color="000000"/>
            </w:tcBorders>
            <w:shd w:val="clear" w:color="auto" w:fill="A8D4AF"/>
            <w:noWrap/>
            <w:tcMar>
              <w:top w:w="15" w:type="dxa"/>
              <w:left w:w="15" w:type="dxa"/>
              <w:bottom w:w="0" w:type="dxa"/>
              <w:right w:w="15" w:type="dxa"/>
            </w:tcMar>
            <w:vAlign w:val="center"/>
          </w:tcPr>
          <w:p w:rsidR="000E20F5" w:rsidRDefault="000E20F5" w:rsidP="008F7698">
            <w:pPr>
              <w:spacing w:line="300" w:lineRule="exact"/>
              <w:jc w:val="center"/>
              <w:rPr>
                <w:rFonts w:ascii="Candara" w:hAnsi="Candara"/>
                <w:b/>
                <w:bCs/>
                <w:sz w:val="22"/>
              </w:rPr>
            </w:pPr>
          </w:p>
        </w:tc>
      </w:tr>
      <w:tr w:rsidR="000E20F5" w:rsidTr="008F7698">
        <w:trPr>
          <w:trHeight w:val="300"/>
          <w:jc w:val="center"/>
        </w:trPr>
        <w:tc>
          <w:tcPr>
            <w:tcW w:w="5760" w:type="dxa"/>
            <w:tcBorders>
              <w:top w:val="single" w:sz="12" w:space="0" w:color="000000"/>
            </w:tcBorders>
            <w:noWrap/>
            <w:tcMar>
              <w:top w:w="15" w:type="dxa"/>
              <w:left w:w="15" w:type="dxa"/>
              <w:bottom w:w="0" w:type="dxa"/>
              <w:right w:w="15" w:type="dxa"/>
            </w:tcMar>
            <w:vAlign w:val="center"/>
          </w:tcPr>
          <w:p w:rsidR="000E20F5" w:rsidRDefault="000E20F5" w:rsidP="008F7698">
            <w:pPr>
              <w:spacing w:line="300" w:lineRule="exact"/>
              <w:rPr>
                <w:rFonts w:ascii="Candara" w:hAnsi="Candara"/>
                <w:b/>
                <w:sz w:val="22"/>
              </w:rPr>
            </w:pPr>
            <w:r>
              <w:rPr>
                <w:rFonts w:ascii="Candara" w:hAnsi="Candara"/>
                <w:b/>
                <w:sz w:val="22"/>
              </w:rPr>
              <w:t>Kontrolní činnost</w:t>
            </w:r>
          </w:p>
        </w:tc>
        <w:tc>
          <w:tcPr>
            <w:tcW w:w="3420" w:type="dxa"/>
            <w:tcBorders>
              <w:top w:val="single" w:sz="12" w:space="0" w:color="000000"/>
            </w:tcBorders>
            <w:noWrap/>
            <w:tcMar>
              <w:top w:w="15" w:type="dxa"/>
              <w:left w:w="15" w:type="dxa"/>
              <w:bottom w:w="0" w:type="dxa"/>
              <w:right w:w="15" w:type="dxa"/>
            </w:tcMar>
            <w:vAlign w:val="center"/>
          </w:tcPr>
          <w:p w:rsidR="000E20F5" w:rsidRDefault="000E20F5" w:rsidP="008F7698">
            <w:pPr>
              <w:jc w:val="center"/>
              <w:rPr>
                <w:rFonts w:ascii="Candara" w:hAnsi="Candara"/>
                <w:bCs/>
                <w:sz w:val="22"/>
              </w:rPr>
            </w:pPr>
            <w:r>
              <w:rPr>
                <w:rFonts w:ascii="Candara" w:hAnsi="Candara"/>
                <w:bCs/>
                <w:sz w:val="22"/>
              </w:rPr>
              <w:t>274</w:t>
            </w:r>
          </w:p>
        </w:tc>
      </w:tr>
      <w:tr w:rsidR="000E20F5" w:rsidTr="008F7698">
        <w:trPr>
          <w:trHeight w:val="300"/>
          <w:jc w:val="center"/>
        </w:trPr>
        <w:tc>
          <w:tcPr>
            <w:tcW w:w="5760" w:type="dxa"/>
            <w:noWrap/>
            <w:tcMar>
              <w:top w:w="15" w:type="dxa"/>
              <w:left w:w="15" w:type="dxa"/>
              <w:bottom w:w="0" w:type="dxa"/>
              <w:right w:w="15" w:type="dxa"/>
            </w:tcMar>
            <w:vAlign w:val="center"/>
          </w:tcPr>
          <w:p w:rsidR="000E20F5" w:rsidRDefault="000E20F5" w:rsidP="008F7698">
            <w:pPr>
              <w:spacing w:line="300" w:lineRule="exact"/>
              <w:rPr>
                <w:rFonts w:ascii="Candara" w:hAnsi="Candara"/>
                <w:b/>
                <w:sz w:val="22"/>
              </w:rPr>
            </w:pPr>
            <w:r>
              <w:rPr>
                <w:rFonts w:ascii="Candara" w:hAnsi="Candara"/>
                <w:b/>
                <w:sz w:val="22"/>
              </w:rPr>
              <w:t>Stavební prevence</w:t>
            </w:r>
          </w:p>
        </w:tc>
        <w:tc>
          <w:tcPr>
            <w:tcW w:w="3420" w:type="dxa"/>
            <w:noWrap/>
            <w:tcMar>
              <w:top w:w="15" w:type="dxa"/>
              <w:left w:w="15" w:type="dxa"/>
              <w:bottom w:w="0" w:type="dxa"/>
              <w:right w:w="15" w:type="dxa"/>
            </w:tcMar>
            <w:vAlign w:val="center"/>
          </w:tcPr>
          <w:p w:rsidR="000E20F5" w:rsidRDefault="000E20F5" w:rsidP="008F7698">
            <w:pPr>
              <w:jc w:val="center"/>
              <w:rPr>
                <w:rFonts w:ascii="Candara" w:hAnsi="Candara"/>
                <w:bCs/>
                <w:sz w:val="22"/>
              </w:rPr>
            </w:pPr>
            <w:r>
              <w:rPr>
                <w:rFonts w:ascii="Candara" w:hAnsi="Candara"/>
                <w:bCs/>
                <w:sz w:val="22"/>
              </w:rPr>
              <w:t>5 661</w:t>
            </w:r>
          </w:p>
        </w:tc>
      </w:tr>
      <w:tr w:rsidR="000E20F5" w:rsidTr="008F7698">
        <w:trPr>
          <w:trHeight w:val="300"/>
          <w:jc w:val="center"/>
        </w:trPr>
        <w:tc>
          <w:tcPr>
            <w:tcW w:w="5760" w:type="dxa"/>
            <w:tcBorders>
              <w:bottom w:val="single" w:sz="8" w:space="0" w:color="000000"/>
            </w:tcBorders>
            <w:noWrap/>
            <w:tcMar>
              <w:top w:w="15" w:type="dxa"/>
              <w:left w:w="15" w:type="dxa"/>
              <w:bottom w:w="0" w:type="dxa"/>
              <w:right w:w="15" w:type="dxa"/>
            </w:tcMar>
            <w:vAlign w:val="center"/>
          </w:tcPr>
          <w:p w:rsidR="000E20F5" w:rsidRDefault="000E20F5" w:rsidP="008F7698">
            <w:pPr>
              <w:rPr>
                <w:rFonts w:ascii="Candara" w:hAnsi="Candara"/>
                <w:b/>
                <w:sz w:val="22"/>
              </w:rPr>
            </w:pPr>
            <w:r>
              <w:rPr>
                <w:rFonts w:ascii="Candara" w:hAnsi="Candara"/>
                <w:b/>
                <w:sz w:val="22"/>
              </w:rPr>
              <w:t>Zjišťování příčin požárů</w:t>
            </w:r>
          </w:p>
        </w:tc>
        <w:tc>
          <w:tcPr>
            <w:tcW w:w="3420" w:type="dxa"/>
            <w:tcBorders>
              <w:bottom w:val="single" w:sz="8" w:space="0" w:color="000000"/>
            </w:tcBorders>
            <w:vAlign w:val="center"/>
          </w:tcPr>
          <w:p w:rsidR="000E20F5" w:rsidRDefault="000E20F5" w:rsidP="008F7698">
            <w:pPr>
              <w:jc w:val="center"/>
              <w:rPr>
                <w:rFonts w:ascii="Candara" w:hAnsi="Candara"/>
                <w:bCs/>
                <w:sz w:val="22"/>
              </w:rPr>
            </w:pPr>
            <w:r>
              <w:rPr>
                <w:rFonts w:ascii="Candara" w:hAnsi="Candara"/>
                <w:bCs/>
                <w:sz w:val="22"/>
              </w:rPr>
              <w:t>956</w:t>
            </w:r>
          </w:p>
        </w:tc>
      </w:tr>
      <w:tr w:rsidR="000E20F5" w:rsidTr="008F7698">
        <w:trPr>
          <w:trHeight w:val="300"/>
          <w:jc w:val="center"/>
        </w:trPr>
        <w:tc>
          <w:tcPr>
            <w:tcW w:w="5760" w:type="dxa"/>
            <w:tcBorders>
              <w:top w:val="single" w:sz="8" w:space="0" w:color="000000"/>
              <w:bottom w:val="single" w:sz="8" w:space="0" w:color="000000"/>
            </w:tcBorders>
            <w:shd w:val="clear" w:color="auto" w:fill="A8D4AF"/>
            <w:noWrap/>
            <w:tcMar>
              <w:top w:w="15" w:type="dxa"/>
              <w:left w:w="15" w:type="dxa"/>
              <w:bottom w:w="0" w:type="dxa"/>
              <w:right w:w="15" w:type="dxa"/>
            </w:tcMar>
            <w:vAlign w:val="center"/>
          </w:tcPr>
          <w:p w:rsidR="000E20F5" w:rsidRDefault="000E20F5" w:rsidP="008F7698">
            <w:pPr>
              <w:rPr>
                <w:rFonts w:ascii="Candara" w:hAnsi="Candara"/>
                <w:b/>
                <w:sz w:val="22"/>
              </w:rPr>
            </w:pPr>
            <w:r>
              <w:rPr>
                <w:rFonts w:ascii="Candara" w:hAnsi="Candara"/>
                <w:b/>
                <w:sz w:val="22"/>
              </w:rPr>
              <w:t>Celkem</w:t>
            </w:r>
          </w:p>
        </w:tc>
        <w:tc>
          <w:tcPr>
            <w:tcW w:w="3420" w:type="dxa"/>
            <w:tcBorders>
              <w:top w:val="single" w:sz="8" w:space="0" w:color="000000"/>
              <w:bottom w:val="single" w:sz="8" w:space="0" w:color="000000"/>
            </w:tcBorders>
            <w:shd w:val="clear" w:color="auto" w:fill="A8D4AF"/>
            <w:vAlign w:val="center"/>
          </w:tcPr>
          <w:p w:rsidR="000E20F5" w:rsidRDefault="000E20F5" w:rsidP="008F7698">
            <w:pPr>
              <w:jc w:val="center"/>
              <w:rPr>
                <w:rFonts w:ascii="Candara" w:hAnsi="Candara"/>
                <w:b/>
                <w:bCs/>
                <w:sz w:val="22"/>
                <w:highlight w:val="yellow"/>
              </w:rPr>
            </w:pPr>
            <w:r>
              <w:rPr>
                <w:rFonts w:ascii="Candara" w:hAnsi="Candara"/>
                <w:b/>
                <w:bCs/>
                <w:sz w:val="22"/>
              </w:rPr>
              <w:t>6891</w:t>
            </w:r>
          </w:p>
        </w:tc>
      </w:tr>
      <w:tr w:rsidR="000E20F5" w:rsidTr="008F7698">
        <w:trPr>
          <w:trHeight w:val="300"/>
          <w:jc w:val="center"/>
        </w:trPr>
        <w:tc>
          <w:tcPr>
            <w:tcW w:w="5760" w:type="dxa"/>
            <w:tcBorders>
              <w:top w:val="single" w:sz="8" w:space="0" w:color="000000"/>
              <w:bottom w:val="single" w:sz="12" w:space="0" w:color="000000"/>
            </w:tcBorders>
            <w:noWrap/>
            <w:tcMar>
              <w:top w:w="15" w:type="dxa"/>
              <w:left w:w="15" w:type="dxa"/>
              <w:bottom w:w="0" w:type="dxa"/>
              <w:right w:w="15" w:type="dxa"/>
            </w:tcMar>
            <w:vAlign w:val="center"/>
          </w:tcPr>
          <w:p w:rsidR="000E20F5" w:rsidRDefault="000E20F5" w:rsidP="008F7698">
            <w:pPr>
              <w:rPr>
                <w:rFonts w:ascii="Candara" w:hAnsi="Candara"/>
                <w:b/>
                <w:sz w:val="22"/>
              </w:rPr>
            </w:pPr>
            <w:r>
              <w:rPr>
                <w:rFonts w:ascii="Candara" w:hAnsi="Candara"/>
                <w:b/>
                <w:sz w:val="22"/>
              </w:rPr>
              <w:t>Počet příslušníků, kteří se zabývají prevencí, v rámci oddělení prevence KŘ a pracovišť prevence, ochrany obyvatelstva a krizového řízení ÚO</w:t>
            </w:r>
          </w:p>
        </w:tc>
        <w:tc>
          <w:tcPr>
            <w:tcW w:w="3420" w:type="dxa"/>
            <w:tcBorders>
              <w:top w:val="single" w:sz="8" w:space="0" w:color="000000"/>
              <w:bottom w:val="single" w:sz="12" w:space="0" w:color="000000"/>
            </w:tcBorders>
            <w:vAlign w:val="center"/>
          </w:tcPr>
          <w:p w:rsidR="000E20F5" w:rsidRDefault="000E20F5" w:rsidP="008F7698">
            <w:pPr>
              <w:jc w:val="center"/>
              <w:rPr>
                <w:rFonts w:ascii="Candara" w:hAnsi="Candara"/>
                <w:bCs/>
                <w:sz w:val="22"/>
              </w:rPr>
            </w:pPr>
            <w:r>
              <w:rPr>
                <w:rFonts w:ascii="Candara" w:hAnsi="Candara"/>
                <w:bCs/>
                <w:sz w:val="22"/>
              </w:rPr>
              <w:t>45</w:t>
            </w:r>
          </w:p>
        </w:tc>
      </w:tr>
    </w:tbl>
    <w:p w:rsidR="000E20F5" w:rsidRDefault="000E20F5" w:rsidP="000E20F5">
      <w:pPr>
        <w:pStyle w:val="Nadpis3"/>
        <w:spacing w:after="120"/>
        <w:rPr>
          <w:rFonts w:ascii="Candara" w:hAnsi="Candara"/>
          <w:i/>
          <w:sz w:val="24"/>
          <w:szCs w:val="24"/>
          <w:u w:val="single"/>
        </w:rPr>
      </w:pPr>
      <w:bookmarkStart w:id="2" w:name="_Toc287963461"/>
      <w:bookmarkEnd w:id="1"/>
      <w:r>
        <w:rPr>
          <w:rFonts w:ascii="Candara" w:hAnsi="Candara"/>
          <w:i/>
          <w:sz w:val="24"/>
          <w:szCs w:val="24"/>
          <w:u w:val="single"/>
        </w:rPr>
        <w:t>Kontrolní činnost</w:t>
      </w:r>
    </w:p>
    <w:p w:rsidR="000E20F5" w:rsidRPr="00D405A2" w:rsidRDefault="000E20F5" w:rsidP="000E20F5">
      <w:pPr>
        <w:pStyle w:val="Mjodstavec"/>
        <w:rPr>
          <w:rFonts w:ascii="Candara" w:hAnsi="Candara"/>
        </w:rPr>
      </w:pPr>
      <w:r w:rsidRPr="00D405A2">
        <w:rPr>
          <w:rFonts w:ascii="Candara" w:hAnsi="Candara"/>
        </w:rPr>
        <w:t xml:space="preserve">Kontrolní činnost byla v uplynulém roce zajišťována v souladu s „Plánem kontrol HZS Jihočeského kraje na rok 2021“. Tento plán byl projednán MV - GŘ HZS ČR. V roce 2021 bylo provedeno </w:t>
      </w:r>
      <w:r w:rsidRPr="00D405A2">
        <w:rPr>
          <w:rFonts w:ascii="Candara" w:hAnsi="Candara"/>
          <w:b/>
          <w:i/>
        </w:rPr>
        <w:t>celkem 274 kontrolních úkonů</w:t>
      </w:r>
      <w:r w:rsidRPr="00D405A2">
        <w:rPr>
          <w:rFonts w:ascii="Candara" w:hAnsi="Candara"/>
        </w:rPr>
        <w:t xml:space="preserve"> (komplexní požární kontroly, tematické požární kontroly a kontroly v kontrolní skupině jiného orgánu).</w:t>
      </w:r>
    </w:p>
    <w:p w:rsidR="000E20F5" w:rsidRDefault="000E20F5" w:rsidP="000E20F5">
      <w:pPr>
        <w:pStyle w:val="Seznam2"/>
        <w:tabs>
          <w:tab w:val="left" w:pos="0"/>
          <w:tab w:val="left" w:pos="360"/>
          <w:tab w:val="left" w:pos="540"/>
        </w:tabs>
        <w:ind w:left="0" w:firstLine="0"/>
        <w:jc w:val="both"/>
        <w:rPr>
          <w:rFonts w:ascii="Candara" w:hAnsi="Candara"/>
          <w:b/>
          <w:i/>
          <w:sz w:val="22"/>
        </w:rPr>
      </w:pPr>
      <w:r>
        <w:rPr>
          <w:rFonts w:ascii="Candara" w:hAnsi="Candara"/>
          <w:b/>
          <w:i/>
          <w:sz w:val="22"/>
        </w:rPr>
        <w:t>Tabulka č. 2: Přehled provedených požárních kontrol u právnických osob a podnikajících fyzických osob</w:t>
      </w:r>
    </w:p>
    <w:tbl>
      <w:tblPr>
        <w:tblW w:w="9497"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71"/>
        <w:gridCol w:w="1080"/>
        <w:gridCol w:w="960"/>
        <w:gridCol w:w="960"/>
        <w:gridCol w:w="960"/>
        <w:gridCol w:w="960"/>
        <w:gridCol w:w="1020"/>
        <w:gridCol w:w="900"/>
        <w:gridCol w:w="1386"/>
      </w:tblGrid>
      <w:tr w:rsidR="000E20F5" w:rsidTr="008F7698">
        <w:trPr>
          <w:cantSplit/>
          <w:trHeight w:val="327"/>
          <w:jc w:val="center"/>
        </w:trPr>
        <w:tc>
          <w:tcPr>
            <w:tcW w:w="1271"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Požární kontrola</w:t>
            </w:r>
          </w:p>
        </w:tc>
        <w:tc>
          <w:tcPr>
            <w:tcW w:w="1080"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ind w:hanging="10"/>
              <w:jc w:val="center"/>
              <w:rPr>
                <w:rFonts w:ascii="Candara" w:hAnsi="Candara"/>
                <w:b/>
                <w:sz w:val="22"/>
              </w:rPr>
            </w:pPr>
            <w:r>
              <w:rPr>
                <w:rFonts w:ascii="Candara" w:hAnsi="Candara"/>
                <w:b/>
                <w:sz w:val="22"/>
              </w:rPr>
              <w:t>Ředitelství HZS JčK</w:t>
            </w:r>
          </w:p>
        </w:tc>
        <w:tc>
          <w:tcPr>
            <w:tcW w:w="5760" w:type="dxa"/>
            <w:gridSpan w:val="6"/>
            <w:tcBorders>
              <w:top w:val="single" w:sz="12" w:space="0" w:color="000000"/>
              <w:bottom w:val="single" w:sz="8"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HZS JčK územní odbor</w:t>
            </w:r>
          </w:p>
        </w:tc>
        <w:tc>
          <w:tcPr>
            <w:tcW w:w="1386"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bCs/>
                <w:sz w:val="22"/>
              </w:rPr>
            </w:pPr>
            <w:r>
              <w:rPr>
                <w:rFonts w:ascii="Candara" w:hAnsi="Candara"/>
                <w:b/>
                <w:bCs/>
                <w:sz w:val="22"/>
              </w:rPr>
              <w:t>Celkem HZS JčK</w:t>
            </w:r>
          </w:p>
        </w:tc>
      </w:tr>
      <w:tr w:rsidR="000E20F5" w:rsidTr="008F7698">
        <w:trPr>
          <w:cantSplit/>
          <w:trHeight w:val="327"/>
          <w:jc w:val="center"/>
        </w:trPr>
        <w:tc>
          <w:tcPr>
            <w:tcW w:w="1271"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rsidR="000E20F5" w:rsidRDefault="000E20F5" w:rsidP="008F7698">
            <w:pPr>
              <w:jc w:val="center"/>
              <w:rPr>
                <w:rFonts w:ascii="Candara" w:hAnsi="Candara"/>
                <w:b/>
                <w:sz w:val="22"/>
              </w:rPr>
            </w:pPr>
          </w:p>
        </w:tc>
        <w:tc>
          <w:tcPr>
            <w:tcW w:w="1080"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rsidR="000E20F5" w:rsidRDefault="000E20F5" w:rsidP="008F7698">
            <w:pPr>
              <w:jc w:val="center"/>
              <w:rPr>
                <w:rFonts w:ascii="Candara" w:hAnsi="Candara"/>
                <w:sz w:val="22"/>
              </w:rPr>
            </w:pP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Cs w:val="20"/>
              </w:rPr>
            </w:pPr>
            <w:r>
              <w:rPr>
                <w:rFonts w:ascii="Candara" w:hAnsi="Candara"/>
                <w:b/>
                <w:szCs w:val="20"/>
              </w:rPr>
              <w:t>Český Krumlov</w:t>
            </w: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Cs w:val="20"/>
              </w:rPr>
            </w:pPr>
            <w:r>
              <w:rPr>
                <w:rFonts w:ascii="Candara" w:hAnsi="Candara"/>
                <w:b/>
                <w:szCs w:val="20"/>
              </w:rPr>
              <w:t>Jindřichův Hradec</w:t>
            </w: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Cs w:val="20"/>
              </w:rPr>
            </w:pPr>
            <w:r>
              <w:rPr>
                <w:rFonts w:ascii="Candara" w:hAnsi="Candara"/>
                <w:b/>
                <w:szCs w:val="20"/>
              </w:rPr>
              <w:t>Písek</w:t>
            </w: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Cs w:val="20"/>
              </w:rPr>
            </w:pPr>
            <w:r>
              <w:rPr>
                <w:rFonts w:ascii="Candara" w:hAnsi="Candara"/>
                <w:b/>
                <w:szCs w:val="20"/>
              </w:rPr>
              <w:t>Prachatice</w:t>
            </w:r>
          </w:p>
        </w:tc>
        <w:tc>
          <w:tcPr>
            <w:tcW w:w="102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Cs w:val="20"/>
              </w:rPr>
            </w:pPr>
            <w:r>
              <w:rPr>
                <w:rFonts w:ascii="Candara" w:hAnsi="Candara"/>
                <w:b/>
                <w:szCs w:val="20"/>
              </w:rPr>
              <w:t>Strakonice</w:t>
            </w:r>
          </w:p>
        </w:tc>
        <w:tc>
          <w:tcPr>
            <w:tcW w:w="90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Cs w:val="20"/>
              </w:rPr>
            </w:pPr>
            <w:r>
              <w:rPr>
                <w:rFonts w:ascii="Candara" w:hAnsi="Candara"/>
                <w:b/>
                <w:szCs w:val="20"/>
              </w:rPr>
              <w:t>Tábor</w:t>
            </w:r>
          </w:p>
        </w:tc>
        <w:tc>
          <w:tcPr>
            <w:tcW w:w="1386"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rsidR="000E20F5" w:rsidRDefault="000E20F5" w:rsidP="008F7698">
            <w:pPr>
              <w:jc w:val="center"/>
              <w:rPr>
                <w:rFonts w:ascii="Candara" w:hAnsi="Candara"/>
                <w:b/>
                <w:bCs/>
                <w:sz w:val="22"/>
              </w:rPr>
            </w:pPr>
          </w:p>
        </w:tc>
      </w:tr>
      <w:tr w:rsidR="000E20F5" w:rsidTr="008F7698">
        <w:trPr>
          <w:cantSplit/>
          <w:trHeight w:val="327"/>
          <w:jc w:val="center"/>
        </w:trPr>
        <w:tc>
          <w:tcPr>
            <w:tcW w:w="1271" w:type="dxa"/>
            <w:tcBorders>
              <w:top w:val="single" w:sz="12" w:space="0" w:color="000000"/>
            </w:tcBorders>
            <w:tcMar>
              <w:top w:w="11" w:type="dxa"/>
              <w:left w:w="11" w:type="dxa"/>
              <w:bottom w:w="0" w:type="dxa"/>
              <w:right w:w="11" w:type="dxa"/>
            </w:tcMar>
            <w:vAlign w:val="center"/>
          </w:tcPr>
          <w:p w:rsidR="000E20F5" w:rsidRDefault="000E20F5" w:rsidP="008F7698">
            <w:pPr>
              <w:jc w:val="center"/>
              <w:rPr>
                <w:rFonts w:ascii="Candara" w:eastAsia="Arial Unicode MS" w:hAnsi="Candara"/>
                <w:b/>
                <w:sz w:val="22"/>
              </w:rPr>
            </w:pPr>
            <w:r>
              <w:rPr>
                <w:rFonts w:ascii="Candara" w:hAnsi="Candara"/>
                <w:b/>
                <w:sz w:val="22"/>
              </w:rPr>
              <w:t>komplexní</w:t>
            </w:r>
          </w:p>
        </w:tc>
        <w:tc>
          <w:tcPr>
            <w:tcW w:w="108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0</w:t>
            </w:r>
          </w:p>
        </w:tc>
        <w:tc>
          <w:tcPr>
            <w:tcW w:w="96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5</w:t>
            </w:r>
          </w:p>
        </w:tc>
        <w:tc>
          <w:tcPr>
            <w:tcW w:w="96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2</w:t>
            </w:r>
          </w:p>
        </w:tc>
        <w:tc>
          <w:tcPr>
            <w:tcW w:w="96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5</w:t>
            </w:r>
          </w:p>
        </w:tc>
        <w:tc>
          <w:tcPr>
            <w:tcW w:w="96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2</w:t>
            </w:r>
          </w:p>
        </w:tc>
        <w:tc>
          <w:tcPr>
            <w:tcW w:w="102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2</w:t>
            </w:r>
          </w:p>
        </w:tc>
        <w:tc>
          <w:tcPr>
            <w:tcW w:w="900" w:type="dxa"/>
            <w:tcBorders>
              <w:top w:val="single" w:sz="12" w:space="0" w:color="000000"/>
            </w:tcBorders>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0</w:t>
            </w:r>
          </w:p>
        </w:tc>
        <w:tc>
          <w:tcPr>
            <w:tcW w:w="1386" w:type="dxa"/>
            <w:tcBorders>
              <w:top w:val="single" w:sz="12" w:space="0" w:color="000000"/>
            </w:tcBorders>
            <w:tcMar>
              <w:top w:w="11" w:type="dxa"/>
              <w:left w:w="11" w:type="dxa"/>
              <w:bottom w:w="0" w:type="dxa"/>
              <w:right w:w="11" w:type="dxa"/>
            </w:tcMar>
            <w:vAlign w:val="center"/>
          </w:tcPr>
          <w:p w:rsidR="000E20F5" w:rsidRDefault="000E20F5" w:rsidP="008F7698">
            <w:pPr>
              <w:jc w:val="center"/>
              <w:rPr>
                <w:rFonts w:ascii="Candara" w:hAnsi="Candara"/>
                <w:sz w:val="22"/>
              </w:rPr>
            </w:pPr>
            <w:r>
              <w:rPr>
                <w:rFonts w:ascii="Candara" w:hAnsi="Candara"/>
                <w:sz w:val="22"/>
              </w:rPr>
              <w:t>16</w:t>
            </w:r>
          </w:p>
        </w:tc>
      </w:tr>
      <w:tr w:rsidR="000E20F5" w:rsidTr="008F7698">
        <w:trPr>
          <w:cantSplit/>
          <w:trHeight w:val="327"/>
          <w:jc w:val="center"/>
        </w:trPr>
        <w:tc>
          <w:tcPr>
            <w:tcW w:w="1271" w:type="dxa"/>
            <w:tcMar>
              <w:top w:w="11" w:type="dxa"/>
              <w:left w:w="11" w:type="dxa"/>
              <w:bottom w:w="0" w:type="dxa"/>
              <w:right w:w="11" w:type="dxa"/>
            </w:tcMar>
            <w:vAlign w:val="center"/>
          </w:tcPr>
          <w:p w:rsidR="000E20F5" w:rsidRDefault="000E20F5" w:rsidP="008F7698">
            <w:pPr>
              <w:jc w:val="center"/>
              <w:rPr>
                <w:rFonts w:ascii="Candara" w:eastAsia="Arial Unicode MS" w:hAnsi="Candara"/>
                <w:b/>
                <w:sz w:val="22"/>
              </w:rPr>
            </w:pPr>
            <w:r>
              <w:rPr>
                <w:rFonts w:ascii="Candara" w:hAnsi="Candara"/>
                <w:b/>
                <w:sz w:val="22"/>
              </w:rPr>
              <w:t>tematické</w:t>
            </w:r>
          </w:p>
        </w:tc>
        <w:tc>
          <w:tcPr>
            <w:tcW w:w="108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9</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25</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29</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30</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20</w:t>
            </w:r>
          </w:p>
        </w:tc>
        <w:tc>
          <w:tcPr>
            <w:tcW w:w="102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12</w:t>
            </w:r>
          </w:p>
        </w:tc>
        <w:tc>
          <w:tcPr>
            <w:tcW w:w="90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16</w:t>
            </w:r>
          </w:p>
        </w:tc>
        <w:tc>
          <w:tcPr>
            <w:tcW w:w="1386" w:type="dxa"/>
            <w:tcMar>
              <w:top w:w="11" w:type="dxa"/>
              <w:left w:w="11" w:type="dxa"/>
              <w:bottom w:w="0" w:type="dxa"/>
              <w:right w:w="11" w:type="dxa"/>
            </w:tcMar>
            <w:vAlign w:val="center"/>
          </w:tcPr>
          <w:p w:rsidR="000E20F5" w:rsidRDefault="000E20F5" w:rsidP="008F7698">
            <w:pPr>
              <w:jc w:val="center"/>
              <w:rPr>
                <w:rFonts w:ascii="Candara" w:hAnsi="Candara"/>
                <w:sz w:val="22"/>
              </w:rPr>
            </w:pPr>
            <w:r>
              <w:rPr>
                <w:rFonts w:ascii="Candara" w:hAnsi="Candara"/>
                <w:sz w:val="22"/>
              </w:rPr>
              <w:t>141</w:t>
            </w:r>
          </w:p>
        </w:tc>
      </w:tr>
      <w:tr w:rsidR="000E20F5" w:rsidTr="008F7698">
        <w:trPr>
          <w:cantSplit/>
          <w:trHeight w:val="498"/>
          <w:jc w:val="center"/>
        </w:trPr>
        <w:tc>
          <w:tcPr>
            <w:tcW w:w="1271" w:type="dxa"/>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úkony předcházející kontrole</w:t>
            </w:r>
          </w:p>
        </w:tc>
        <w:tc>
          <w:tcPr>
            <w:tcW w:w="108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31</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0</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12</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0</w:t>
            </w:r>
          </w:p>
        </w:tc>
        <w:tc>
          <w:tcPr>
            <w:tcW w:w="96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17</w:t>
            </w:r>
          </w:p>
        </w:tc>
        <w:tc>
          <w:tcPr>
            <w:tcW w:w="102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16</w:t>
            </w:r>
          </w:p>
        </w:tc>
        <w:tc>
          <w:tcPr>
            <w:tcW w:w="900" w:type="dxa"/>
            <w:tcMar>
              <w:top w:w="11" w:type="dxa"/>
              <w:left w:w="11" w:type="dxa"/>
              <w:bottom w:w="0" w:type="dxa"/>
              <w:right w:w="11" w:type="dxa"/>
            </w:tcMar>
            <w:vAlign w:val="center"/>
          </w:tcPr>
          <w:p w:rsidR="000E20F5" w:rsidRPr="00276F2D" w:rsidRDefault="000E20F5" w:rsidP="008F7698">
            <w:pPr>
              <w:jc w:val="center"/>
              <w:rPr>
                <w:rFonts w:ascii="Candara" w:hAnsi="Candara"/>
                <w:sz w:val="22"/>
              </w:rPr>
            </w:pPr>
            <w:r w:rsidRPr="00276F2D">
              <w:rPr>
                <w:rFonts w:ascii="Candara" w:hAnsi="Candara"/>
                <w:sz w:val="22"/>
              </w:rPr>
              <w:t>1</w:t>
            </w:r>
          </w:p>
        </w:tc>
        <w:tc>
          <w:tcPr>
            <w:tcW w:w="1386" w:type="dxa"/>
            <w:tcMar>
              <w:top w:w="11" w:type="dxa"/>
              <w:left w:w="11" w:type="dxa"/>
              <w:bottom w:w="0" w:type="dxa"/>
              <w:right w:w="11" w:type="dxa"/>
            </w:tcMar>
            <w:vAlign w:val="center"/>
          </w:tcPr>
          <w:p w:rsidR="000E20F5" w:rsidRDefault="000E20F5" w:rsidP="008F7698">
            <w:pPr>
              <w:jc w:val="center"/>
              <w:rPr>
                <w:rFonts w:ascii="Candara" w:hAnsi="Candara"/>
                <w:sz w:val="22"/>
              </w:rPr>
            </w:pPr>
            <w:r>
              <w:rPr>
                <w:rFonts w:ascii="Candara" w:hAnsi="Candara"/>
                <w:sz w:val="22"/>
              </w:rPr>
              <w:t>77</w:t>
            </w:r>
          </w:p>
        </w:tc>
      </w:tr>
    </w:tbl>
    <w:p w:rsidR="000E20F5" w:rsidRDefault="000E20F5" w:rsidP="000E20F5">
      <w:pPr>
        <w:jc w:val="both"/>
        <w:rPr>
          <w:rFonts w:ascii="Candara" w:hAnsi="Candara"/>
          <w:color w:val="FF0000"/>
        </w:rPr>
      </w:pPr>
      <w:r>
        <w:rPr>
          <w:rFonts w:ascii="Candara" w:hAnsi="Candara"/>
          <w:color w:val="FF0000"/>
        </w:rPr>
        <w:lastRenderedPageBreak/>
        <w:tab/>
      </w:r>
    </w:p>
    <w:p w:rsidR="000E20F5" w:rsidRDefault="000E20F5" w:rsidP="000E20F5">
      <w:pPr>
        <w:pStyle w:val="Mjodstavec"/>
        <w:rPr>
          <w:rFonts w:ascii="Candara" w:hAnsi="Candara"/>
        </w:rPr>
      </w:pPr>
    </w:p>
    <w:p w:rsidR="000E20F5" w:rsidRDefault="000E20F5" w:rsidP="000E20F5">
      <w:pPr>
        <w:pStyle w:val="Mjodstavec"/>
        <w:rPr>
          <w:rFonts w:ascii="Candara" w:hAnsi="Candara"/>
        </w:rPr>
      </w:pPr>
    </w:p>
    <w:p w:rsidR="000E20F5" w:rsidRPr="00D405A2" w:rsidRDefault="000E20F5" w:rsidP="000E20F5">
      <w:pPr>
        <w:pStyle w:val="Mjodstavec"/>
        <w:rPr>
          <w:rFonts w:ascii="Candara" w:hAnsi="Candara"/>
        </w:rPr>
      </w:pPr>
      <w:r w:rsidRPr="00D405A2">
        <w:rPr>
          <w:rFonts w:ascii="Candara" w:hAnsi="Candara"/>
        </w:rPr>
        <w:t xml:space="preserve">Kontrolní činnost byla zaměřena na prověření dodržování povinností stanovených předpisy o požární ochraně ve stanoveném rozsahu u jednotlivých právních subjektů. </w:t>
      </w:r>
    </w:p>
    <w:p w:rsidR="000E20F5" w:rsidRPr="00D405A2" w:rsidRDefault="000E20F5" w:rsidP="000E20F5">
      <w:pPr>
        <w:pStyle w:val="Mjodstavec"/>
        <w:rPr>
          <w:rFonts w:ascii="Candara" w:hAnsi="Candara"/>
        </w:rPr>
      </w:pPr>
      <w:r w:rsidRPr="00D405A2">
        <w:rPr>
          <w:rFonts w:ascii="Candara" w:hAnsi="Candara"/>
        </w:rPr>
        <w:t xml:space="preserve">Tematické požární kontroly byly v roce 2021 zaměřeny např. na kontroly nočních podniků a restauračních zařízení v rámci prevence před podáváním alkoholu osobám mladším 18 let. Dále byly realizovány kontroly zemědělských subjektů a kontroly na podnět. </w:t>
      </w:r>
    </w:p>
    <w:p w:rsidR="000E20F5" w:rsidRPr="00D405A2" w:rsidRDefault="000E20F5" w:rsidP="000E20F5">
      <w:pPr>
        <w:pStyle w:val="Zhlav"/>
        <w:jc w:val="both"/>
        <w:rPr>
          <w:rFonts w:ascii="Candara" w:hAnsi="Candara"/>
          <w:b/>
          <w:szCs w:val="24"/>
        </w:rPr>
      </w:pPr>
      <w:r w:rsidRPr="00D405A2">
        <w:rPr>
          <w:rFonts w:ascii="Candara" w:hAnsi="Candara"/>
          <w:b/>
          <w:szCs w:val="24"/>
        </w:rPr>
        <w:t>Vyhodnocení kontrolní činnosti</w:t>
      </w:r>
    </w:p>
    <w:p w:rsidR="000E20F5" w:rsidRPr="00D405A2" w:rsidRDefault="000E20F5" w:rsidP="000E20F5">
      <w:pPr>
        <w:pStyle w:val="Mjodstavec"/>
        <w:rPr>
          <w:rFonts w:ascii="Candara" w:hAnsi="Candara"/>
        </w:rPr>
      </w:pPr>
      <w:r w:rsidRPr="00D405A2">
        <w:rPr>
          <w:rFonts w:ascii="Candara" w:hAnsi="Candara"/>
        </w:rPr>
        <w:t>V průběhu jednotlivých kontrol byly zjištěny nedostatky, jejichž vyhodnocení je uvedeno v tabulce č. 3 a v níže uvedeném textu.</w:t>
      </w:r>
    </w:p>
    <w:p w:rsidR="000E20F5" w:rsidRDefault="000E20F5" w:rsidP="000E20F5">
      <w:pPr>
        <w:pStyle w:val="Mjodstavec"/>
        <w:rPr>
          <w:rFonts w:ascii="Candara" w:hAnsi="Candara"/>
        </w:rPr>
      </w:pPr>
    </w:p>
    <w:p w:rsidR="000E20F5" w:rsidRDefault="000E20F5" w:rsidP="000E20F5">
      <w:pPr>
        <w:jc w:val="both"/>
        <w:rPr>
          <w:rFonts w:ascii="Candara" w:hAnsi="Candara"/>
          <w:b/>
          <w:i/>
          <w:sz w:val="22"/>
        </w:rPr>
      </w:pPr>
      <w:r>
        <w:rPr>
          <w:rFonts w:ascii="Candara" w:hAnsi="Candara"/>
          <w:b/>
          <w:i/>
          <w:sz w:val="22"/>
        </w:rPr>
        <w:t>Tabulka č. 3: Přehled provedených požárních kontrol bez závad za HZS Jihočeského kraje</w:t>
      </w:r>
    </w:p>
    <w:tbl>
      <w:tblPr>
        <w:tblW w:w="9557"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1E0" w:firstRow="1" w:lastRow="1" w:firstColumn="1" w:lastColumn="1" w:noHBand="0" w:noVBand="0"/>
      </w:tblPr>
      <w:tblGrid>
        <w:gridCol w:w="1586"/>
        <w:gridCol w:w="1591"/>
        <w:gridCol w:w="1589"/>
        <w:gridCol w:w="1591"/>
        <w:gridCol w:w="1599"/>
        <w:gridCol w:w="1601"/>
      </w:tblGrid>
      <w:tr w:rsidR="000E20F5" w:rsidTr="008F7698">
        <w:trPr>
          <w:trHeight w:val="203"/>
          <w:jc w:val="center"/>
        </w:trPr>
        <w:tc>
          <w:tcPr>
            <w:tcW w:w="3177" w:type="dxa"/>
            <w:gridSpan w:val="2"/>
            <w:tcBorders>
              <w:top w:val="single" w:sz="12" w:space="0" w:color="000000"/>
              <w:bottom w:val="single" w:sz="8"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Počet kontrol</w:t>
            </w:r>
          </w:p>
        </w:tc>
        <w:tc>
          <w:tcPr>
            <w:tcW w:w="3180" w:type="dxa"/>
            <w:gridSpan w:val="2"/>
            <w:tcBorders>
              <w:top w:val="single" w:sz="12" w:space="0" w:color="000000"/>
              <w:bottom w:val="single" w:sz="8"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Počet kontrol bez závad</w:t>
            </w:r>
          </w:p>
        </w:tc>
        <w:tc>
          <w:tcPr>
            <w:tcW w:w="3200" w:type="dxa"/>
            <w:gridSpan w:val="2"/>
            <w:tcBorders>
              <w:top w:val="single" w:sz="12" w:space="0" w:color="000000"/>
              <w:bottom w:val="single" w:sz="8"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Kontroly bez závad (%)</w:t>
            </w:r>
          </w:p>
        </w:tc>
      </w:tr>
      <w:tr w:rsidR="000E20F5" w:rsidTr="008F7698">
        <w:trPr>
          <w:trHeight w:val="254"/>
          <w:jc w:val="center"/>
        </w:trPr>
        <w:tc>
          <w:tcPr>
            <w:tcW w:w="1586" w:type="dxa"/>
            <w:tcBorders>
              <w:top w:val="single" w:sz="8" w:space="0" w:color="000000"/>
              <w:bottom w:val="single" w:sz="12"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KK</w:t>
            </w:r>
          </w:p>
        </w:tc>
        <w:tc>
          <w:tcPr>
            <w:tcW w:w="1591" w:type="dxa"/>
            <w:tcBorders>
              <w:top w:val="single" w:sz="8" w:space="0" w:color="000000"/>
              <w:bottom w:val="single" w:sz="12"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TK</w:t>
            </w:r>
          </w:p>
        </w:tc>
        <w:tc>
          <w:tcPr>
            <w:tcW w:w="1589" w:type="dxa"/>
            <w:tcBorders>
              <w:top w:val="single" w:sz="8" w:space="0" w:color="000000"/>
              <w:bottom w:val="single" w:sz="12"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KK</w:t>
            </w:r>
          </w:p>
        </w:tc>
        <w:tc>
          <w:tcPr>
            <w:tcW w:w="1591" w:type="dxa"/>
            <w:tcBorders>
              <w:top w:val="single" w:sz="8" w:space="0" w:color="000000"/>
              <w:bottom w:val="single" w:sz="12"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TK</w:t>
            </w:r>
          </w:p>
        </w:tc>
        <w:tc>
          <w:tcPr>
            <w:tcW w:w="1599" w:type="dxa"/>
            <w:tcBorders>
              <w:top w:val="single" w:sz="8" w:space="0" w:color="000000"/>
              <w:bottom w:val="single" w:sz="12"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KK</w:t>
            </w:r>
          </w:p>
        </w:tc>
        <w:tc>
          <w:tcPr>
            <w:tcW w:w="1601" w:type="dxa"/>
            <w:tcBorders>
              <w:top w:val="single" w:sz="8" w:space="0" w:color="000000"/>
              <w:bottom w:val="single" w:sz="12" w:space="0" w:color="000000"/>
            </w:tcBorders>
            <w:shd w:val="clear" w:color="auto" w:fill="A8D4AF"/>
            <w:vAlign w:val="center"/>
          </w:tcPr>
          <w:p w:rsidR="000E20F5" w:rsidRDefault="000E20F5" w:rsidP="008F7698">
            <w:pPr>
              <w:pStyle w:val="Seznam2"/>
              <w:spacing w:after="120"/>
              <w:ind w:left="360"/>
              <w:jc w:val="center"/>
              <w:rPr>
                <w:rFonts w:ascii="Candara" w:hAnsi="Candara"/>
                <w:b/>
                <w:sz w:val="22"/>
              </w:rPr>
            </w:pPr>
            <w:r>
              <w:rPr>
                <w:rFonts w:ascii="Candara" w:hAnsi="Candara"/>
                <w:b/>
                <w:sz w:val="22"/>
              </w:rPr>
              <w:t>TK</w:t>
            </w:r>
          </w:p>
        </w:tc>
      </w:tr>
      <w:tr w:rsidR="000E20F5" w:rsidTr="008F7698">
        <w:trPr>
          <w:trHeight w:val="203"/>
          <w:jc w:val="center"/>
        </w:trPr>
        <w:tc>
          <w:tcPr>
            <w:tcW w:w="1586" w:type="dxa"/>
            <w:tcBorders>
              <w:top w:val="single" w:sz="12" w:space="0" w:color="000000"/>
            </w:tcBorders>
            <w:vAlign w:val="center"/>
          </w:tcPr>
          <w:p w:rsidR="000E20F5" w:rsidRPr="00276F2D" w:rsidRDefault="000E20F5" w:rsidP="008F7698">
            <w:pPr>
              <w:jc w:val="center"/>
              <w:rPr>
                <w:rFonts w:ascii="Candara" w:hAnsi="Candara"/>
                <w:sz w:val="22"/>
              </w:rPr>
            </w:pPr>
            <w:r w:rsidRPr="00276F2D">
              <w:rPr>
                <w:rFonts w:ascii="Candara" w:hAnsi="Candara"/>
                <w:sz w:val="22"/>
              </w:rPr>
              <w:t>16</w:t>
            </w:r>
          </w:p>
        </w:tc>
        <w:tc>
          <w:tcPr>
            <w:tcW w:w="1591" w:type="dxa"/>
            <w:tcBorders>
              <w:top w:val="single" w:sz="12" w:space="0" w:color="000000"/>
            </w:tcBorders>
            <w:vAlign w:val="center"/>
          </w:tcPr>
          <w:p w:rsidR="000E20F5" w:rsidRPr="00276F2D" w:rsidRDefault="000E20F5" w:rsidP="008F7698">
            <w:pPr>
              <w:jc w:val="center"/>
              <w:rPr>
                <w:rFonts w:ascii="Candara" w:hAnsi="Candara"/>
                <w:sz w:val="22"/>
              </w:rPr>
            </w:pPr>
            <w:r w:rsidRPr="00276F2D">
              <w:rPr>
                <w:rFonts w:ascii="Candara" w:hAnsi="Candara"/>
                <w:sz w:val="22"/>
              </w:rPr>
              <w:t>141</w:t>
            </w:r>
          </w:p>
        </w:tc>
        <w:tc>
          <w:tcPr>
            <w:tcW w:w="1589" w:type="dxa"/>
            <w:tcBorders>
              <w:top w:val="single" w:sz="12" w:space="0" w:color="000000"/>
            </w:tcBorders>
            <w:vAlign w:val="center"/>
          </w:tcPr>
          <w:p w:rsidR="000E20F5" w:rsidRPr="00276F2D" w:rsidRDefault="000E20F5" w:rsidP="008F7698">
            <w:pPr>
              <w:jc w:val="center"/>
              <w:rPr>
                <w:rFonts w:ascii="Candara" w:hAnsi="Candara"/>
                <w:sz w:val="22"/>
              </w:rPr>
            </w:pPr>
            <w:r w:rsidRPr="00276F2D">
              <w:rPr>
                <w:rFonts w:ascii="Candara" w:hAnsi="Candara"/>
                <w:sz w:val="22"/>
              </w:rPr>
              <w:t>11</w:t>
            </w:r>
          </w:p>
        </w:tc>
        <w:tc>
          <w:tcPr>
            <w:tcW w:w="1591" w:type="dxa"/>
            <w:tcBorders>
              <w:top w:val="single" w:sz="12" w:space="0" w:color="000000"/>
            </w:tcBorders>
            <w:vAlign w:val="center"/>
          </w:tcPr>
          <w:p w:rsidR="000E20F5" w:rsidRPr="00276F2D" w:rsidRDefault="000E20F5" w:rsidP="008F7698">
            <w:pPr>
              <w:jc w:val="center"/>
              <w:rPr>
                <w:rFonts w:ascii="Candara" w:hAnsi="Candara"/>
                <w:sz w:val="22"/>
              </w:rPr>
            </w:pPr>
            <w:r w:rsidRPr="00276F2D">
              <w:rPr>
                <w:rFonts w:ascii="Candara" w:hAnsi="Candara"/>
                <w:sz w:val="22"/>
              </w:rPr>
              <w:t>86</w:t>
            </w:r>
          </w:p>
        </w:tc>
        <w:tc>
          <w:tcPr>
            <w:tcW w:w="1599" w:type="dxa"/>
            <w:tcBorders>
              <w:top w:val="single" w:sz="12" w:space="0" w:color="000000"/>
            </w:tcBorders>
            <w:vAlign w:val="center"/>
          </w:tcPr>
          <w:p w:rsidR="000E20F5" w:rsidRPr="00276F2D" w:rsidRDefault="000E20F5" w:rsidP="008F7698">
            <w:pPr>
              <w:jc w:val="center"/>
              <w:rPr>
                <w:rFonts w:ascii="Candara" w:hAnsi="Candara"/>
                <w:sz w:val="22"/>
              </w:rPr>
            </w:pPr>
            <w:r w:rsidRPr="00276F2D">
              <w:rPr>
                <w:rFonts w:ascii="Candara" w:hAnsi="Candara"/>
                <w:sz w:val="22"/>
              </w:rPr>
              <w:t>68,8</w:t>
            </w:r>
          </w:p>
        </w:tc>
        <w:tc>
          <w:tcPr>
            <w:tcW w:w="1601" w:type="dxa"/>
            <w:tcBorders>
              <w:top w:val="single" w:sz="12" w:space="0" w:color="000000"/>
            </w:tcBorders>
            <w:vAlign w:val="center"/>
          </w:tcPr>
          <w:p w:rsidR="000E20F5" w:rsidRPr="00276F2D" w:rsidRDefault="000E20F5" w:rsidP="008F7698">
            <w:pPr>
              <w:jc w:val="center"/>
              <w:rPr>
                <w:rFonts w:ascii="Candara" w:hAnsi="Candara"/>
                <w:sz w:val="22"/>
              </w:rPr>
            </w:pPr>
            <w:r w:rsidRPr="00276F2D">
              <w:rPr>
                <w:rFonts w:ascii="Candara" w:hAnsi="Candara"/>
                <w:sz w:val="22"/>
              </w:rPr>
              <w:t>61</w:t>
            </w:r>
          </w:p>
        </w:tc>
      </w:tr>
    </w:tbl>
    <w:p w:rsidR="000E20F5" w:rsidRDefault="000E20F5" w:rsidP="000E20F5">
      <w:pPr>
        <w:ind w:firstLine="284"/>
        <w:jc w:val="both"/>
        <w:rPr>
          <w:rFonts w:ascii="Candara" w:hAnsi="Candara"/>
          <w:b/>
          <w:i/>
          <w:iCs/>
        </w:rPr>
      </w:pPr>
    </w:p>
    <w:p w:rsidR="000E20F5" w:rsidRPr="00D405A2" w:rsidRDefault="000E20F5" w:rsidP="000E20F5">
      <w:pPr>
        <w:ind w:firstLine="284"/>
        <w:jc w:val="both"/>
        <w:rPr>
          <w:rFonts w:ascii="Candara" w:hAnsi="Candara"/>
          <w:b/>
          <w:i/>
          <w:iCs/>
        </w:rPr>
      </w:pPr>
      <w:r w:rsidRPr="00D405A2">
        <w:rPr>
          <w:rFonts w:ascii="Candara" w:hAnsi="Candara"/>
          <w:b/>
          <w:i/>
          <w:iCs/>
        </w:rPr>
        <w:t>Nejčastěji zjištěné nedostatky:</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 xml:space="preserve">v dokumentaci o začlenění provozované činnosti do kategorie podle míry požárního nebezpečí, </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při prokazování provozuschopnosti instalovaných požárně bezpečnostních zařízení včetně vyhrazených,</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při označování pracovišť a dalších míst bezpečnostními značkami,</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nepředložení schválené projektové dokumentace v rozsahu požárně bezpečnostních řešení a vydaných kolaudačních rozhodnutí,</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nedostatečné označení únikových východů a směrů úniku osob,</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 xml:space="preserve">nepředložení dokladů o odstranění závad zjištěných při revizi elektrického zařízení budov, </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neprovozuschopné hasicí přístroje, nevhodně umístněné,</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zastavěné únikové cesty a východy,</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ind w:left="1134" w:hanging="424"/>
        <w:rPr>
          <w:rFonts w:ascii="Candara" w:hAnsi="Candara"/>
        </w:rPr>
      </w:pPr>
      <w:r w:rsidRPr="00D405A2">
        <w:rPr>
          <w:rFonts w:ascii="Candara" w:hAnsi="Candara"/>
        </w:rPr>
        <w:t>nepřístupné hlavní uzávěry a vypínače médií,</w:t>
      </w:r>
    </w:p>
    <w:p w:rsidR="000E20F5" w:rsidRPr="00D405A2" w:rsidRDefault="000E20F5" w:rsidP="000E20F5">
      <w:pPr>
        <w:pStyle w:val="Mjodstavec"/>
        <w:numPr>
          <w:ilvl w:val="0"/>
          <w:numId w:val="4"/>
        </w:numPr>
        <w:pBdr>
          <w:top w:val="none" w:sz="4" w:space="0" w:color="000000"/>
          <w:left w:val="none" w:sz="4" w:space="0" w:color="000000"/>
          <w:bottom w:val="none" w:sz="4" w:space="0" w:color="000000"/>
          <w:right w:val="none" w:sz="4" w:space="0" w:color="000000"/>
          <w:between w:val="none" w:sz="4" w:space="0" w:color="000000"/>
        </w:pBdr>
        <w:ind w:left="1134" w:hanging="424"/>
        <w:rPr>
          <w:rFonts w:ascii="Candara" w:hAnsi="Candara"/>
        </w:rPr>
      </w:pPr>
      <w:r w:rsidRPr="00D405A2">
        <w:rPr>
          <w:rFonts w:ascii="Candara" w:hAnsi="Candara"/>
        </w:rPr>
        <w:t>nedodržení odstupových vzdáleností stohů sena (slámy) od komunikací a objektů u zemědělských subjektů.</w:t>
      </w:r>
      <w:bookmarkStart w:id="3" w:name="_Toc287963462"/>
      <w:bookmarkEnd w:id="2"/>
    </w:p>
    <w:p w:rsidR="000E20F5" w:rsidRPr="00D405A2" w:rsidRDefault="000E20F5" w:rsidP="000E20F5">
      <w:pPr>
        <w:pStyle w:val="Mjodstavec"/>
        <w:rPr>
          <w:rFonts w:ascii="Candara" w:hAnsi="Candara"/>
        </w:rPr>
      </w:pPr>
      <w:r w:rsidRPr="00D405A2">
        <w:rPr>
          <w:rFonts w:ascii="Candara" w:hAnsi="Candara"/>
        </w:rPr>
        <w:t xml:space="preserve">V roce 2021 se HZS Jihočeského kraje vyjadřoval k dokumentacím posouzení požárního nebezpečí. Celkem byla předložena 5 posouzení požárního nebezpečí. </w:t>
      </w:r>
    </w:p>
    <w:p w:rsidR="000E20F5" w:rsidRDefault="000E20F5" w:rsidP="000E20F5">
      <w:pPr>
        <w:pStyle w:val="Mjodstavec"/>
        <w:rPr>
          <w:rFonts w:ascii="Candara" w:hAnsi="Candara"/>
        </w:rPr>
      </w:pPr>
      <w:r w:rsidRPr="00D405A2">
        <w:rPr>
          <w:rFonts w:ascii="Candara" w:hAnsi="Candara"/>
        </w:rPr>
        <w:t xml:space="preserve">V roce 2021 se příslušníci v souladu s platnou legislativou vyjadřovali k dokumentaci zdolávání požárů celkem pro 209 subjektů, které tuto dokumentaci předložily HZS Jihočeského kraje ke schválení. </w:t>
      </w:r>
    </w:p>
    <w:p w:rsidR="000E20F5" w:rsidRDefault="000E20F5" w:rsidP="000E20F5">
      <w:pPr>
        <w:pStyle w:val="Mjodstavec"/>
        <w:rPr>
          <w:rFonts w:ascii="Candara" w:hAnsi="Candara"/>
        </w:rPr>
      </w:pPr>
    </w:p>
    <w:p w:rsidR="000E20F5" w:rsidRDefault="000E20F5" w:rsidP="000E20F5">
      <w:pPr>
        <w:pStyle w:val="Mjodstavec"/>
        <w:rPr>
          <w:rFonts w:ascii="Candara" w:hAnsi="Candara"/>
        </w:rPr>
      </w:pPr>
    </w:p>
    <w:p w:rsidR="000E20F5" w:rsidRDefault="000E20F5" w:rsidP="000E20F5">
      <w:pPr>
        <w:pStyle w:val="Mjodstavec"/>
        <w:rPr>
          <w:rFonts w:ascii="Candara" w:hAnsi="Candara"/>
        </w:rPr>
      </w:pPr>
    </w:p>
    <w:p w:rsidR="000E20F5" w:rsidRPr="00D405A2" w:rsidRDefault="000E20F5" w:rsidP="000E20F5">
      <w:pPr>
        <w:pStyle w:val="Mjodstavec"/>
        <w:rPr>
          <w:rFonts w:ascii="Candara" w:hAnsi="Candara"/>
        </w:rPr>
      </w:pPr>
    </w:p>
    <w:p w:rsidR="000E20F5" w:rsidRDefault="000E20F5" w:rsidP="000E20F5">
      <w:pPr>
        <w:pStyle w:val="Mjodstavec"/>
        <w:rPr>
          <w:rFonts w:ascii="Candara" w:hAnsi="Candara"/>
        </w:rPr>
      </w:pPr>
    </w:p>
    <w:p w:rsidR="000E20F5" w:rsidRDefault="000E20F5" w:rsidP="000E20F5">
      <w:pPr>
        <w:jc w:val="both"/>
        <w:rPr>
          <w:rFonts w:ascii="Candara" w:hAnsi="Candara"/>
          <w:b/>
          <w:i/>
          <w:sz w:val="22"/>
        </w:rPr>
      </w:pPr>
      <w:r>
        <w:rPr>
          <w:rFonts w:ascii="Candara" w:hAnsi="Candara"/>
          <w:b/>
          <w:i/>
          <w:sz w:val="22"/>
        </w:rPr>
        <w:t>Tabulka č. 4: Přehled vyjádření k dokumentaci zdolávání požárů za HZS Jihočeského kraje</w:t>
      </w:r>
    </w:p>
    <w:tbl>
      <w:tblPr>
        <w:tblW w:w="96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737"/>
        <w:gridCol w:w="1344"/>
        <w:gridCol w:w="1232"/>
        <w:gridCol w:w="850"/>
        <w:gridCol w:w="1100"/>
        <w:gridCol w:w="1168"/>
        <w:gridCol w:w="992"/>
        <w:gridCol w:w="1267"/>
      </w:tblGrid>
      <w:tr w:rsidR="000E20F5" w:rsidTr="008F7698">
        <w:trPr>
          <w:cantSplit/>
          <w:trHeight w:val="327"/>
          <w:jc w:val="center"/>
        </w:trPr>
        <w:tc>
          <w:tcPr>
            <w:tcW w:w="1737"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ind w:hanging="10"/>
              <w:jc w:val="center"/>
              <w:rPr>
                <w:rFonts w:ascii="Candara" w:hAnsi="Candara"/>
                <w:b/>
                <w:sz w:val="22"/>
              </w:rPr>
            </w:pPr>
            <w:r>
              <w:rPr>
                <w:rFonts w:ascii="Candara" w:hAnsi="Candara"/>
                <w:b/>
                <w:sz w:val="22"/>
              </w:rPr>
              <w:t>Ředitelství HZS JčK</w:t>
            </w:r>
          </w:p>
        </w:tc>
        <w:tc>
          <w:tcPr>
            <w:tcW w:w="6686" w:type="dxa"/>
            <w:gridSpan w:val="6"/>
            <w:tcBorders>
              <w:top w:val="single" w:sz="12" w:space="0" w:color="000000"/>
              <w:bottom w:val="single" w:sz="8"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HZS JčK územní odbor</w:t>
            </w:r>
          </w:p>
        </w:tc>
        <w:tc>
          <w:tcPr>
            <w:tcW w:w="1267"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bCs/>
                <w:sz w:val="22"/>
              </w:rPr>
            </w:pPr>
            <w:r>
              <w:rPr>
                <w:rFonts w:ascii="Candara" w:hAnsi="Candara"/>
                <w:b/>
                <w:bCs/>
                <w:sz w:val="22"/>
              </w:rPr>
              <w:t>Celkem HZS JčK</w:t>
            </w:r>
          </w:p>
        </w:tc>
      </w:tr>
      <w:tr w:rsidR="000E20F5" w:rsidTr="008F7698">
        <w:trPr>
          <w:cantSplit/>
          <w:trHeight w:val="327"/>
          <w:jc w:val="center"/>
        </w:trPr>
        <w:tc>
          <w:tcPr>
            <w:tcW w:w="1737"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rsidR="000E20F5" w:rsidRDefault="000E20F5" w:rsidP="008F7698">
            <w:pPr>
              <w:jc w:val="center"/>
              <w:rPr>
                <w:rFonts w:ascii="Candara" w:hAnsi="Candara"/>
                <w:sz w:val="22"/>
              </w:rPr>
            </w:pPr>
          </w:p>
        </w:tc>
        <w:tc>
          <w:tcPr>
            <w:tcW w:w="1344"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Český Krumlov</w:t>
            </w:r>
          </w:p>
        </w:tc>
        <w:tc>
          <w:tcPr>
            <w:tcW w:w="1232"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Jindřichův Hradec</w:t>
            </w:r>
          </w:p>
        </w:tc>
        <w:tc>
          <w:tcPr>
            <w:tcW w:w="85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Písek</w:t>
            </w:r>
          </w:p>
        </w:tc>
        <w:tc>
          <w:tcPr>
            <w:tcW w:w="110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Prachatice</w:t>
            </w:r>
          </w:p>
        </w:tc>
        <w:tc>
          <w:tcPr>
            <w:tcW w:w="1168"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Strakonice</w:t>
            </w:r>
          </w:p>
        </w:tc>
        <w:tc>
          <w:tcPr>
            <w:tcW w:w="992"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rsidR="000E20F5" w:rsidRDefault="000E20F5" w:rsidP="008F7698">
            <w:pPr>
              <w:jc w:val="center"/>
              <w:rPr>
                <w:rFonts w:ascii="Candara" w:hAnsi="Candara"/>
                <w:b/>
                <w:sz w:val="22"/>
              </w:rPr>
            </w:pPr>
            <w:r>
              <w:rPr>
                <w:rFonts w:ascii="Candara" w:hAnsi="Candara"/>
                <w:b/>
                <w:sz w:val="22"/>
              </w:rPr>
              <w:t>Tábor</w:t>
            </w:r>
          </w:p>
        </w:tc>
        <w:tc>
          <w:tcPr>
            <w:tcW w:w="1267"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rsidR="000E20F5" w:rsidRDefault="000E20F5" w:rsidP="008F7698">
            <w:pPr>
              <w:jc w:val="center"/>
              <w:rPr>
                <w:rFonts w:ascii="Candara" w:hAnsi="Candara"/>
                <w:b/>
                <w:bCs/>
                <w:sz w:val="22"/>
              </w:rPr>
            </w:pPr>
          </w:p>
        </w:tc>
      </w:tr>
      <w:tr w:rsidR="000E20F5" w:rsidTr="008F7698">
        <w:trPr>
          <w:cantSplit/>
          <w:trHeight w:val="327"/>
          <w:jc w:val="center"/>
        </w:trPr>
        <w:tc>
          <w:tcPr>
            <w:tcW w:w="1737"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101</w:t>
            </w:r>
          </w:p>
        </w:tc>
        <w:tc>
          <w:tcPr>
            <w:tcW w:w="1344"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20</w:t>
            </w:r>
          </w:p>
        </w:tc>
        <w:tc>
          <w:tcPr>
            <w:tcW w:w="1232"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21</w:t>
            </w:r>
          </w:p>
        </w:tc>
        <w:tc>
          <w:tcPr>
            <w:tcW w:w="850"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8</w:t>
            </w:r>
          </w:p>
        </w:tc>
        <w:tc>
          <w:tcPr>
            <w:tcW w:w="1100"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14</w:t>
            </w:r>
          </w:p>
        </w:tc>
        <w:tc>
          <w:tcPr>
            <w:tcW w:w="1168"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14</w:t>
            </w:r>
          </w:p>
        </w:tc>
        <w:tc>
          <w:tcPr>
            <w:tcW w:w="992"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31</w:t>
            </w:r>
          </w:p>
        </w:tc>
        <w:tc>
          <w:tcPr>
            <w:tcW w:w="1267" w:type="dxa"/>
            <w:tcBorders>
              <w:top w:val="single" w:sz="12" w:space="0" w:color="000000"/>
            </w:tcBorders>
            <w:tcMar>
              <w:top w:w="11" w:type="dxa"/>
              <w:left w:w="11" w:type="dxa"/>
              <w:bottom w:w="0" w:type="dxa"/>
              <w:right w:w="11" w:type="dxa"/>
            </w:tcMar>
            <w:vAlign w:val="center"/>
          </w:tcPr>
          <w:p w:rsidR="000E20F5" w:rsidRPr="005C24DC" w:rsidRDefault="000E20F5" w:rsidP="008F7698">
            <w:pPr>
              <w:jc w:val="center"/>
              <w:rPr>
                <w:rFonts w:ascii="Candara" w:hAnsi="Candara"/>
                <w:sz w:val="22"/>
              </w:rPr>
            </w:pPr>
            <w:r w:rsidRPr="005C24DC">
              <w:rPr>
                <w:rFonts w:ascii="Candara" w:hAnsi="Candara"/>
                <w:sz w:val="22"/>
              </w:rPr>
              <w:t>209</w:t>
            </w:r>
          </w:p>
        </w:tc>
      </w:tr>
    </w:tbl>
    <w:p w:rsidR="000E20F5" w:rsidRPr="00D405A2" w:rsidRDefault="000E20F5" w:rsidP="000E20F5">
      <w:pPr>
        <w:pStyle w:val="Mjodstavec"/>
        <w:spacing w:before="120"/>
        <w:rPr>
          <w:rFonts w:ascii="Candara" w:hAnsi="Candara"/>
        </w:rPr>
      </w:pPr>
      <w:r w:rsidRPr="00D405A2">
        <w:rPr>
          <w:rFonts w:ascii="Candara" w:hAnsi="Candara"/>
        </w:rPr>
        <w:t>Dále byly poskytovány odborné konzultace pro občany, právní subjekty a odbornou veřejnost (osoby s odbornou způsobilostí) a byly samostatně nebo ve spolupráci s jinými orgány státní správy řešeny podněty občanů se zaměřením na oblast dodržování povinností stanovených předpisy o požární ochraně.</w:t>
      </w:r>
    </w:p>
    <w:p w:rsidR="000E20F5" w:rsidRPr="00D405A2" w:rsidRDefault="000E20F5" w:rsidP="000E20F5">
      <w:pPr>
        <w:pStyle w:val="Mjodstavec"/>
        <w:spacing w:before="120"/>
        <w:rPr>
          <w:rFonts w:ascii="Candara" w:hAnsi="Candara"/>
        </w:rPr>
      </w:pPr>
      <w:r w:rsidRPr="00D405A2">
        <w:rPr>
          <w:rFonts w:ascii="Candara" w:hAnsi="Candara"/>
        </w:rPr>
        <w:t>Plnění původního plánu kontrolní činnosti na rok 2021 bylo do značné míry ovlivněno plněním dalších úkolů souvisejících s řešením pandemie COVID-19, kdy byli převážně příslušníci, provádějící kontrolní činnost, pověřeni plněním dalších úkolů souvisejících s touto pandemií v rámci nouzového stavu.</w:t>
      </w:r>
    </w:p>
    <w:p w:rsidR="000E20F5" w:rsidRPr="00D405A2" w:rsidRDefault="000E20F5" w:rsidP="000E20F5">
      <w:pPr>
        <w:pStyle w:val="Nadpis3"/>
        <w:spacing w:after="120"/>
        <w:rPr>
          <w:rFonts w:ascii="Candara" w:hAnsi="Candara"/>
          <w:i/>
          <w:sz w:val="24"/>
          <w:szCs w:val="24"/>
          <w:u w:val="single"/>
        </w:rPr>
      </w:pPr>
      <w:r w:rsidRPr="00D405A2">
        <w:rPr>
          <w:rFonts w:ascii="Candara" w:hAnsi="Candara"/>
          <w:i/>
          <w:sz w:val="24"/>
          <w:szCs w:val="24"/>
          <w:u w:val="single"/>
        </w:rPr>
        <w:t>Stavební prevence</w:t>
      </w:r>
    </w:p>
    <w:p w:rsidR="000E20F5" w:rsidRPr="00D405A2" w:rsidRDefault="000E20F5" w:rsidP="000E20F5">
      <w:pPr>
        <w:pStyle w:val="Mjodstavec"/>
        <w:rPr>
          <w:rFonts w:ascii="Candara" w:hAnsi="Candara"/>
        </w:rPr>
      </w:pPr>
      <w:r w:rsidRPr="00D405A2">
        <w:rPr>
          <w:rFonts w:ascii="Candara" w:hAnsi="Candara"/>
        </w:rPr>
        <w:t xml:space="preserve">Příslušníci oddělení stavební prevence, kontrolní činnosti a ZPP krajského ředitelství a příslušníci pracovišť prevence, ochrany obyvatelstva a krizového řízení územních odborů HZS Jihočeského kraje se v roce 2021 podstatným způsobem podíleli na výkonu státního požárního dozoru, a to zejména posuzováním podkladů pro vydání územního rozhodnutí, projektové dokumentace staveb ke stavebnímu řízení, dokumentace k povolení změny stavby před jejím dokončením, dokumentace k řízení o změně v užívání stavby, apod. V roce 2021 bylo vydáno </w:t>
      </w:r>
      <w:r w:rsidRPr="00D405A2">
        <w:rPr>
          <w:rFonts w:ascii="Candara" w:hAnsi="Candara"/>
          <w:b/>
          <w:i/>
        </w:rPr>
        <w:t>celkem 4 112 stanovisek</w:t>
      </w:r>
      <w:r w:rsidRPr="00D405A2">
        <w:rPr>
          <w:rFonts w:ascii="Candara" w:hAnsi="Candara"/>
        </w:rPr>
        <w:t xml:space="preserve">. </w:t>
      </w:r>
    </w:p>
    <w:p w:rsidR="000E20F5" w:rsidRPr="00D405A2" w:rsidRDefault="000E20F5" w:rsidP="000E20F5">
      <w:pPr>
        <w:pStyle w:val="Mjodstavec"/>
        <w:rPr>
          <w:rFonts w:ascii="Candara" w:hAnsi="Candara"/>
        </w:rPr>
      </w:pPr>
      <w:r w:rsidRPr="00D405A2">
        <w:rPr>
          <w:rFonts w:ascii="Candara" w:hAnsi="Candara"/>
        </w:rPr>
        <w:t xml:space="preserve">Ověřování podmínek uvedených ve stanoviscích bylo prováděno při kolaudačních řízeních, místních šetřeních ve vazbě na vydání kolaudačního souhlasu nebo jiných řízeních v souvislosti s uváděním staveb do provozu, tj. celkem při 1 504 jednáních na místě stavby. Při místních šetřeních se příslušníci HZS Jihočeského kraje zúčastnili 39 jednání v rámci stavebních řízení a 349 dalších jednání jiného druhu. </w:t>
      </w:r>
    </w:p>
    <w:p w:rsidR="000E20F5" w:rsidRPr="00D405A2" w:rsidRDefault="000E20F5" w:rsidP="000E20F5">
      <w:pPr>
        <w:pStyle w:val="Mjodstavec"/>
        <w:rPr>
          <w:rFonts w:ascii="Candara" w:hAnsi="Candara"/>
          <w:strike/>
        </w:rPr>
      </w:pPr>
      <w:bookmarkStart w:id="4" w:name="_Toc287963463"/>
      <w:bookmarkEnd w:id="3"/>
      <w:r w:rsidRPr="00D405A2">
        <w:rPr>
          <w:rFonts w:ascii="Candara" w:hAnsi="Candara"/>
        </w:rPr>
        <w:t>Zásadní pozornost byla při výkonu státního požárního dozoru věnována projektovaným nebo dokončovaným stavbám, které slouží ke shromažďování většího počtu osob nebo osob s omezenou schopností pohybu. Jednalo se např. o přístavbu, nástavbu a úpravu objektu CLARION CONGRESS HOTEL v Českých Budějovicích; přístavby a rekonstrukce pavilonů nemocnic v Českých Budějovicích, Českém Krumlově, Jindřichově Hradci a Prachaticích; stavba Alzheimercentra Loucký Mlýn Radčice u Vodňan, dům pro seniory Wágnerka v Českém Krumlově a Centrum pro seniory v Týně nad Vltavou. Dalšími sledovanými stavbami byla školská a výzkumná zařízení: přístavba školního pavilonu ZŠ Podhůrecká, výstavba sportovní haly v ZŠ Dukelská, generální obnova Biologického centra AV ČR a stavební úpravy koleje K4  v Českých Budějovicích. Dále byla věnována pozornost stavbám určeným pro výrobu nebo skladování. Jednalo se např. o stavby příjmu a skladování štěpky pro kotel K12 v Teplárna České Budějovice a.s.; skladové haly pro logistiku LAŠEK spol. s r.o.; hala pro údržbu kolejových vozidel ve středisku údržby v Českých Budějovicích</w:t>
      </w:r>
    </w:p>
    <w:p w:rsidR="000E20F5" w:rsidRPr="00D405A2" w:rsidRDefault="000E20F5" w:rsidP="000E20F5">
      <w:pPr>
        <w:pStyle w:val="Mjodstavec"/>
        <w:rPr>
          <w:rFonts w:ascii="Candara" w:hAnsi="Candara"/>
        </w:rPr>
      </w:pPr>
      <w:r w:rsidRPr="00D405A2">
        <w:rPr>
          <w:rFonts w:ascii="Candara" w:hAnsi="Candara"/>
        </w:rPr>
        <w:lastRenderedPageBreak/>
        <w:t xml:space="preserve">Je možno konstatovat, že se na úseku stavební prevence podařilo bezezbytku </w:t>
      </w:r>
      <w:r w:rsidRPr="00D405A2">
        <w:rPr>
          <w:rFonts w:ascii="Candara" w:hAnsi="Candara"/>
        </w:rPr>
        <w:br/>
        <w:t xml:space="preserve">a v odpovídajících termínech vyřídit veškeré žádosti k posouzení projektové dokumentace a zajistit odpovídající účast příslušníků HZS Jihočeského kraje na kolaudačních nebo obdobných řízeních. </w:t>
      </w:r>
    </w:p>
    <w:p w:rsidR="000E20F5" w:rsidRPr="00D405A2" w:rsidRDefault="000E20F5" w:rsidP="000E20F5">
      <w:pPr>
        <w:pStyle w:val="Mjodstavec"/>
        <w:rPr>
          <w:rFonts w:ascii="Candara" w:hAnsi="Candara"/>
        </w:rPr>
      </w:pPr>
      <w:r w:rsidRPr="00D405A2">
        <w:rPr>
          <w:rFonts w:ascii="Candara" w:hAnsi="Candara"/>
        </w:rPr>
        <w:t>Rovněž byly poskytovány odborné konzultace pro občany a odbornou veřejnost (např. projektanti, investoři) a byly samostatně nebo ve spolupráci s jinými orgány státní správy řešeny podněty občanů se zaměřením na oblast požární bezpečnosti staveb. Dále se příslušníci oddělení a pracovišť pravidelně zúčastňovali jako přednášející odborných seminářů (např. ČKAIT), konferencí (např. Červený kohout, Požární ochrany) a výuky na vysokých školách v rámci Jihočeského kraje (JČU, VŠERS, VŠTE apod.).</w:t>
      </w:r>
    </w:p>
    <w:p w:rsidR="000E20F5" w:rsidRPr="00D405A2" w:rsidRDefault="000E20F5" w:rsidP="000E20F5">
      <w:pPr>
        <w:pStyle w:val="Nadpis3"/>
        <w:spacing w:after="120"/>
        <w:rPr>
          <w:rFonts w:ascii="Candara" w:hAnsi="Candara"/>
          <w:i/>
          <w:sz w:val="24"/>
          <w:szCs w:val="24"/>
          <w:u w:val="single"/>
        </w:rPr>
      </w:pPr>
      <w:r w:rsidRPr="00D405A2">
        <w:rPr>
          <w:rFonts w:ascii="Candara" w:hAnsi="Candara"/>
          <w:i/>
          <w:sz w:val="24"/>
          <w:szCs w:val="24"/>
          <w:u w:val="single"/>
        </w:rPr>
        <w:t>Zjišťování příčin vzniku požárů</w:t>
      </w:r>
    </w:p>
    <w:p w:rsidR="000E20F5" w:rsidRPr="00D405A2" w:rsidRDefault="000E20F5" w:rsidP="000E20F5">
      <w:pPr>
        <w:pStyle w:val="Mjodstavec"/>
        <w:rPr>
          <w:rFonts w:ascii="Candara" w:hAnsi="Candara"/>
        </w:rPr>
      </w:pPr>
      <w:bookmarkStart w:id="5" w:name="_Toc287963464"/>
      <w:bookmarkEnd w:id="4"/>
      <w:r w:rsidRPr="00D405A2">
        <w:rPr>
          <w:rFonts w:ascii="Candara" w:hAnsi="Candara"/>
        </w:rPr>
        <w:t xml:space="preserve">Nedílnou součástí výkonu státního požárního dozoru je i zjišťování příčin vzniku požárů. Za období od 1. 1. do 31. 12. 2021 bylo na operační středisko HZS Jihočeského kraje nahlášeno </w:t>
      </w:r>
      <w:r w:rsidRPr="00D405A2">
        <w:rPr>
          <w:rFonts w:ascii="Candara" w:hAnsi="Candara"/>
          <w:b/>
          <w:i/>
        </w:rPr>
        <w:t>celkem 956 požárů</w:t>
      </w:r>
      <w:r w:rsidRPr="00D405A2">
        <w:rPr>
          <w:rFonts w:ascii="Candara" w:hAnsi="Candara"/>
        </w:rPr>
        <w:t>, které způsobily přímou hmotnou škodu ve výši 182.300.000,- Kč.</w:t>
      </w:r>
      <w:r w:rsidRPr="00D405A2">
        <w:t xml:space="preserve"> </w:t>
      </w:r>
    </w:p>
    <w:p w:rsidR="000E20F5" w:rsidRPr="00D405A2" w:rsidRDefault="000E20F5" w:rsidP="000E20F5">
      <w:pPr>
        <w:pStyle w:val="Mjodstavec"/>
        <w:rPr>
          <w:rFonts w:ascii="Candara" w:hAnsi="Candara"/>
        </w:rPr>
      </w:pPr>
      <w:r w:rsidRPr="00D405A2">
        <w:rPr>
          <w:rFonts w:ascii="Candara" w:hAnsi="Candara"/>
        </w:rPr>
        <w:t>Nejčastější příčinou vzniku požáru bylo nedbalostní jednání osob (306 požárů). Při těchto požárech byla způsobena přímá škoda ve výši 76.113.700,- Kč. Z celkového počtu požárů tyto události představují 32,02 % a bylo při nich zraněno 27 osob a usmrceny 2 osoby.</w:t>
      </w:r>
      <w:r w:rsidRPr="00D405A2">
        <w:t xml:space="preserve"> </w:t>
      </w:r>
    </w:p>
    <w:p w:rsidR="000E20F5" w:rsidRPr="00D405A2" w:rsidRDefault="000E20F5" w:rsidP="000E20F5">
      <w:pPr>
        <w:pStyle w:val="Mjodstavec"/>
        <w:rPr>
          <w:rFonts w:ascii="Candara" w:hAnsi="Candara"/>
        </w:rPr>
      </w:pPr>
      <w:r w:rsidRPr="00D405A2">
        <w:rPr>
          <w:rFonts w:ascii="Candara" w:hAnsi="Candara"/>
          <w:noProof/>
        </w:rPr>
        <w:drawing>
          <wp:anchor distT="0" distB="0" distL="114300" distR="114300" simplePos="0" relativeHeight="251659264" behindDoc="0" locked="0" layoutInCell="1" allowOverlap="1" wp14:anchorId="1B61E95E" wp14:editId="164278F8">
            <wp:simplePos x="0" y="0"/>
            <wp:positionH relativeFrom="column">
              <wp:posOffset>2773045</wp:posOffset>
            </wp:positionH>
            <wp:positionV relativeFrom="paragraph">
              <wp:posOffset>51435</wp:posOffset>
            </wp:positionV>
            <wp:extent cx="3778885" cy="1939290"/>
            <wp:effectExtent l="0" t="0" r="12065" b="22860"/>
            <wp:wrapSquare wrapText="bothSides"/>
            <wp:docPr id="9" name="Graf 9" title="POČET POŽÁRŮ ZA ÚO"/>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D405A2">
        <w:rPr>
          <w:rFonts w:ascii="Candara" w:hAnsi="Candara"/>
        </w:rPr>
        <w:t xml:space="preserve">Druhou nejčastější příčinou vzniku požárů byly technické závady (204 požárů). U těchto požárů byla způsobena přímá škoda ve výši 75.711.900,- Kč. Požáry způsobené technickými závadami představují 21,34 % z celkového počtu požárů a bylo při nich zraněno 18 osob a usmrcena 1 osoba.  </w:t>
      </w:r>
    </w:p>
    <w:p w:rsidR="000E20F5" w:rsidRPr="00D405A2" w:rsidRDefault="000E20F5" w:rsidP="000E20F5">
      <w:pPr>
        <w:pStyle w:val="Mjodstavec"/>
        <w:rPr>
          <w:rFonts w:ascii="Candara" w:hAnsi="Candara"/>
        </w:rPr>
      </w:pPr>
      <w:r w:rsidRPr="00D405A2">
        <w:rPr>
          <w:rFonts w:ascii="Candara" w:hAnsi="Candara"/>
        </w:rPr>
        <w:t>Nejvíce požárů bylo evidováno v okrese České Budějovice, a to 242, nejméně požárů bylo evidováno v okrese Prachatice, a to 88.</w:t>
      </w:r>
    </w:p>
    <w:p w:rsidR="000E20F5" w:rsidRPr="00D405A2" w:rsidRDefault="000E20F5" w:rsidP="000E20F5">
      <w:pPr>
        <w:pStyle w:val="Mjodstavec"/>
        <w:rPr>
          <w:rFonts w:ascii="Candara" w:hAnsi="Candara"/>
        </w:rPr>
      </w:pPr>
      <w:r w:rsidRPr="00D405A2">
        <w:rPr>
          <w:rFonts w:ascii="Candara" w:hAnsi="Candara"/>
        </w:rPr>
        <w:t>V roce 2021 zemřely v Jihočeském kraji v souvislosti s požáry celkem 3 osoby, zranění utrpělo 65 osob. Včasnými a účinnými zásahy jednotek požární ochrany byl při požárech uchráněn majetek v celkové výši 362.892.000,- Kč.</w:t>
      </w:r>
    </w:p>
    <w:p w:rsidR="000E20F5" w:rsidRPr="00D405A2" w:rsidRDefault="000E20F5" w:rsidP="000E20F5">
      <w:pPr>
        <w:pStyle w:val="Nadpis3"/>
        <w:spacing w:after="120"/>
        <w:rPr>
          <w:rFonts w:ascii="Candara" w:hAnsi="Candara"/>
          <w:i/>
          <w:sz w:val="24"/>
          <w:szCs w:val="24"/>
          <w:u w:val="single"/>
        </w:rPr>
      </w:pPr>
      <w:r w:rsidRPr="00D405A2">
        <w:rPr>
          <w:rFonts w:ascii="Candara" w:hAnsi="Candara"/>
          <w:i/>
          <w:sz w:val="24"/>
          <w:szCs w:val="24"/>
          <w:u w:val="single"/>
        </w:rPr>
        <w:t>Přestupkové řízení</w:t>
      </w:r>
    </w:p>
    <w:p w:rsidR="000E20F5" w:rsidRPr="00D405A2" w:rsidRDefault="000E20F5" w:rsidP="000E20F5">
      <w:pPr>
        <w:pStyle w:val="Mjodstavec"/>
        <w:rPr>
          <w:rFonts w:ascii="Candara" w:hAnsi="Candara"/>
        </w:rPr>
      </w:pPr>
      <w:r w:rsidRPr="00D405A2">
        <w:rPr>
          <w:rFonts w:ascii="Candara" w:hAnsi="Candara"/>
        </w:rPr>
        <w:t xml:space="preserve">HZS Jihočeského kraje je příslušným správním orgánem na úseku přestupků, popř. jiných správních deliktů, podle ustanovení § 76 až § 79 zákona </w:t>
      </w:r>
      <w:r>
        <w:rPr>
          <w:rFonts w:ascii="Candara" w:hAnsi="Candara"/>
        </w:rPr>
        <w:t>o požární ochraně</w:t>
      </w:r>
      <w:r w:rsidRPr="00D405A2">
        <w:rPr>
          <w:rFonts w:ascii="Candara" w:hAnsi="Candara"/>
        </w:rPr>
        <w:t>. Při jejich projednání a v rámci postupů př</w:t>
      </w:r>
      <w:r>
        <w:rPr>
          <w:rFonts w:ascii="Candara" w:hAnsi="Candara"/>
        </w:rPr>
        <w:t>ed zahájením řízení se řídí zákonem</w:t>
      </w:r>
      <w:r w:rsidRPr="00D405A2">
        <w:rPr>
          <w:rFonts w:ascii="Candara" w:hAnsi="Candara"/>
        </w:rPr>
        <w:t xml:space="preserve"> č</w:t>
      </w:r>
      <w:r>
        <w:rPr>
          <w:rFonts w:ascii="Candara" w:hAnsi="Candara"/>
        </w:rPr>
        <w:t>. </w:t>
      </w:r>
      <w:r w:rsidRPr="00D405A2">
        <w:rPr>
          <w:rFonts w:ascii="Candara" w:hAnsi="Candara"/>
        </w:rPr>
        <w:t>250/2016 Sb., o odpovědnosti za přestupky a řízení o nich, ve znění pozdějších předpisů, a zák</w:t>
      </w:r>
      <w:r>
        <w:rPr>
          <w:rFonts w:ascii="Candara" w:hAnsi="Candara"/>
        </w:rPr>
        <w:t>onem</w:t>
      </w:r>
      <w:r w:rsidRPr="00D405A2">
        <w:rPr>
          <w:rFonts w:ascii="Candara" w:hAnsi="Candara"/>
        </w:rPr>
        <w:t xml:space="preserve"> č. 500/2004 Sb., správní řád, ve znění pozdějších předpisů.</w:t>
      </w:r>
    </w:p>
    <w:p w:rsidR="000E20F5" w:rsidRPr="00D405A2" w:rsidRDefault="000E20F5" w:rsidP="000E20F5">
      <w:pPr>
        <w:pStyle w:val="Mjodstavec"/>
        <w:rPr>
          <w:rFonts w:ascii="Candara" w:hAnsi="Candara"/>
        </w:rPr>
      </w:pPr>
      <w:r w:rsidRPr="00D405A2">
        <w:rPr>
          <w:rFonts w:ascii="Candara" w:hAnsi="Candara"/>
        </w:rPr>
        <w:lastRenderedPageBreak/>
        <w:t>HZS Jihočeského kraje se zaměřuje zejména na preventivní působení vůči právním subjektům. Z tohoto důvodu se řeší společensky méně nebezpečná protiprávní jednání, u nichž nedošlo ke zranění osob nebo škodám na majetku, buďto domluvou nebo uložením správního trestu pokuty příkazem na místě, kdy je horní hranice sazby pokuty limitována částkou 10.000,- Kč, resp. 2.500,- Kč v případě mladistvých, kteří nejsou podnikající fyzickou osobou. Využity mohou být také instituty správního trestu napomenutí nebo upuštění od uložení správního trestu. Závažnější porušení povinností na úseku požární ochrany se řeší formou příkazu nebo v nezkráceném přestupkovém řízení, kdy lze uložit pokuty až do výše horních sazeb stanovených ustanovení 76 až § 78 zákona o požární ochraně, resp. do výše 5.000,- Kč v případě mladistvých, kteří nejsou podnikající fyzickou osobou.</w:t>
      </w:r>
    </w:p>
    <w:p w:rsidR="000E20F5" w:rsidRPr="00D405A2" w:rsidRDefault="000E20F5" w:rsidP="000E20F5">
      <w:pPr>
        <w:pStyle w:val="Mjodstavec"/>
        <w:rPr>
          <w:rFonts w:ascii="Candara" w:hAnsi="Candara"/>
        </w:rPr>
      </w:pPr>
      <w:r w:rsidRPr="00D405A2">
        <w:rPr>
          <w:rFonts w:ascii="Candara" w:hAnsi="Candara"/>
        </w:rPr>
        <w:t xml:space="preserve">V roce 2021 bylo řešeno </w:t>
      </w:r>
      <w:r w:rsidRPr="00D405A2">
        <w:rPr>
          <w:rFonts w:ascii="Candara" w:hAnsi="Candara"/>
          <w:b/>
          <w:i/>
        </w:rPr>
        <w:t>celkově 67 přestupků</w:t>
      </w:r>
      <w:r w:rsidRPr="00D405A2">
        <w:rPr>
          <w:rFonts w:ascii="Candara" w:hAnsi="Candara"/>
        </w:rPr>
        <w:t xml:space="preserve"> v příkazním řízení blokovou pokutou fyzických osob, právnických a podnikajících fyzických osob, kdy byly uloženy celkově za tyto přestupky pokuty ve výši 55.400,- Kč. V dalších čtyřech případech byl za přestupek uložen správní trest v nezkráceném řízení, případně příkazem, v celkové výši 61.000,- Kč. </w:t>
      </w:r>
    </w:p>
    <w:p w:rsidR="000E20F5" w:rsidRPr="00D405A2" w:rsidRDefault="000E20F5" w:rsidP="000E20F5">
      <w:pPr>
        <w:pStyle w:val="Nadpis3"/>
        <w:spacing w:after="120"/>
        <w:rPr>
          <w:rFonts w:ascii="Candara" w:hAnsi="Candara"/>
          <w:i/>
          <w:sz w:val="24"/>
          <w:szCs w:val="24"/>
          <w:u w:val="single"/>
        </w:rPr>
      </w:pPr>
      <w:r w:rsidRPr="00D405A2">
        <w:rPr>
          <w:rFonts w:ascii="Candara" w:hAnsi="Candara"/>
          <w:i/>
          <w:sz w:val="24"/>
          <w:szCs w:val="24"/>
          <w:u w:val="single"/>
        </w:rPr>
        <w:t>Další činnosti v oblasti prevence</w:t>
      </w:r>
      <w:bookmarkEnd w:id="5"/>
    </w:p>
    <w:p w:rsidR="000E20F5" w:rsidRPr="00D405A2" w:rsidRDefault="000E20F5" w:rsidP="000E20F5">
      <w:pPr>
        <w:pStyle w:val="Mjodstavec"/>
        <w:rPr>
          <w:rFonts w:ascii="Candara" w:hAnsi="Candara"/>
        </w:rPr>
      </w:pPr>
      <w:r w:rsidRPr="00D405A2">
        <w:rPr>
          <w:rFonts w:ascii="Candara" w:hAnsi="Candara"/>
        </w:rPr>
        <w:t xml:space="preserve">Příslušníci HZS JčK zabývající se stavební prevencí se účastnili připomínkových řízení k technickým normám a metodickým pomůckám pro výkon státního požárního dozoru vydávaných MV - GŘ HZS ČR. </w:t>
      </w:r>
    </w:p>
    <w:p w:rsidR="000E20F5" w:rsidRPr="00D405A2" w:rsidRDefault="000E20F5" w:rsidP="000E20F5">
      <w:pPr>
        <w:pStyle w:val="Mjodstavec"/>
        <w:rPr>
          <w:rFonts w:ascii="Candara" w:hAnsi="Candara"/>
        </w:rPr>
      </w:pPr>
      <w:r w:rsidRPr="00D405A2">
        <w:rPr>
          <w:rFonts w:ascii="Candara" w:hAnsi="Candara"/>
        </w:rPr>
        <w:t>Příslušníci krajského ředitelství HZS Jihočeského kraje jsou zařazeni v pracovních skupinách MV - GŘ HZS ČR, které řeší specifické problematiky stavební prevence, např. požární inženýrství, stavbu tunelů, požární ochranu památkově chráněných objektů a výkon státního požárního dozoru.</w:t>
      </w:r>
    </w:p>
    <w:p w:rsidR="000E20F5" w:rsidRPr="00D405A2" w:rsidRDefault="000E20F5" w:rsidP="000E20F5">
      <w:pPr>
        <w:pStyle w:val="Mjodstavec"/>
        <w:rPr>
          <w:rFonts w:ascii="Candara" w:hAnsi="Candara"/>
        </w:rPr>
      </w:pPr>
      <w:r w:rsidRPr="00D405A2">
        <w:rPr>
          <w:rFonts w:ascii="Candara" w:hAnsi="Candara"/>
        </w:rPr>
        <w:t>Nedílnou součástí výkonu příslušníků bylo i zvyšování jejich kvalifikace a to formou účastí na poradách, školeních, seminářích a vybraných konferencích, zaměřených na problematiku související s výkonem státního požárního dozoru.</w:t>
      </w:r>
    </w:p>
    <w:p w:rsidR="000E20F5" w:rsidRDefault="000E20F5" w:rsidP="000E20F5">
      <w:pPr>
        <w:pStyle w:val="Mjodstavec"/>
        <w:rPr>
          <w:rFonts w:ascii="Candara" w:hAnsi="Candara"/>
        </w:rPr>
      </w:pPr>
      <w:r w:rsidRPr="00D405A2">
        <w:rPr>
          <w:rFonts w:ascii="Candara" w:hAnsi="Candara"/>
        </w:rPr>
        <w:t>Pandemie COVID 19 se v roce 2021 zásadním způsobem promítla do pracovních povinností příslušníků zařazených na kontrolní činnost, stavební prevenci a zjišťování příčin vzniku požáru na Krajském ředitelství HZS JčK a na jednotlivých územních odborech. Tito příslušníci vypomáhali ve velkokapacitních očkovacích centrech, zřizovaných při nemocničních zařízeních, na území všech okresů v Jihočeském kraji. Po zvládnutí prvotního velkého náporu vakcinace v první půlce roku 2021, tito příslušníci vypomáhali Krajské hygienické stanici s administrativními úkony v souvislosti s pandemií COVID 19.</w:t>
      </w:r>
      <w:r>
        <w:rPr>
          <w:rFonts w:ascii="Candara" w:hAnsi="Candara"/>
        </w:rPr>
        <w:t xml:space="preserve"> </w:t>
      </w:r>
    </w:p>
    <w:p w:rsidR="00111FFA" w:rsidRPr="00305302" w:rsidRDefault="00111FFA" w:rsidP="00256BC4">
      <w:pPr>
        <w:pStyle w:val="Mjodstavec"/>
      </w:pPr>
      <w:bookmarkStart w:id="6" w:name="_GoBack"/>
      <w:bookmarkEnd w:id="6"/>
    </w:p>
    <w:sectPr w:rsidR="00111FFA" w:rsidRPr="003053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7CD" w:rsidRDefault="00D607CD" w:rsidP="005D42D2">
      <w:r>
        <w:separator/>
      </w:r>
    </w:p>
  </w:endnote>
  <w:endnote w:type="continuationSeparator" w:id="0">
    <w:p w:rsidR="00D607CD" w:rsidRDefault="00D607CD" w:rsidP="005D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7CD" w:rsidRDefault="00D607CD" w:rsidP="005D42D2">
      <w:r>
        <w:separator/>
      </w:r>
    </w:p>
  </w:footnote>
  <w:footnote w:type="continuationSeparator" w:id="0">
    <w:p w:rsidR="00D607CD" w:rsidRDefault="00D607CD" w:rsidP="005D42D2">
      <w:r>
        <w:continuationSeparator/>
      </w:r>
    </w:p>
  </w:footnote>
  <w:footnote w:id="1">
    <w:p w:rsidR="000E20F5" w:rsidRDefault="000E20F5" w:rsidP="000E20F5">
      <w:pPr>
        <w:pStyle w:val="Seznam2"/>
        <w:ind w:left="0" w:firstLine="0"/>
        <w:jc w:val="both"/>
        <w:rPr>
          <w:rFonts w:ascii="Candara" w:hAnsi="Candara"/>
          <w:i/>
          <w:sz w:val="18"/>
          <w:szCs w:val="18"/>
        </w:rPr>
      </w:pPr>
      <w:r>
        <w:rPr>
          <w:rStyle w:val="Znakapoznpodarou"/>
          <w:rFonts w:ascii="Candara" w:hAnsi="Candara"/>
          <w:sz w:val="18"/>
          <w:szCs w:val="18"/>
        </w:rPr>
        <w:footnoteRef/>
      </w:r>
      <w:r>
        <w:rPr>
          <w:rFonts w:ascii="Candara" w:hAnsi="Candara"/>
          <w:sz w:val="18"/>
          <w:szCs w:val="18"/>
        </w:rPr>
        <w:t xml:space="preserve"> </w:t>
      </w:r>
      <w:r>
        <w:rPr>
          <w:rFonts w:ascii="Candara" w:hAnsi="Candara"/>
          <w:i/>
          <w:sz w:val="18"/>
          <w:szCs w:val="18"/>
        </w:rPr>
        <w:t>Do uvedené statistiky nejsou zahrnuta jednání s veřejností, projektanty, investory, odborně způsobilými osobami, pojišťovnami apod., která se uskutečňovala nad rámec výkonu státního požárního dozoru ve smyslu § 31 zákona o požární ochraně.</w:t>
      </w:r>
    </w:p>
    <w:p w:rsidR="000E20F5" w:rsidRDefault="000E20F5" w:rsidP="000E20F5">
      <w:pPr>
        <w:pStyle w:val="Textpoznpodarou"/>
        <w:rPr>
          <w:rFonts w:ascii="Candara" w:hAnsi="Candara"/>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F0FDC"/>
    <w:multiLevelType w:val="hybridMultilevel"/>
    <w:tmpl w:val="5F5E21B6"/>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 w15:restartNumberingAfterBreak="0">
    <w:nsid w:val="36DD78A6"/>
    <w:multiLevelType w:val="hybridMultilevel"/>
    <w:tmpl w:val="70CA5DFC"/>
    <w:lvl w:ilvl="0" w:tplc="1FCC2C7C">
      <w:start w:val="1"/>
      <w:numFmt w:val="bullet"/>
      <w:lvlText w:val=""/>
      <w:lvlJc w:val="left"/>
      <w:pPr>
        <w:ind w:left="1069" w:hanging="359"/>
      </w:pPr>
      <w:rPr>
        <w:rFonts w:ascii="Symbol" w:hAnsi="Symbol"/>
      </w:rPr>
    </w:lvl>
    <w:lvl w:ilvl="1" w:tplc="D644ABB8">
      <w:start w:val="1"/>
      <w:numFmt w:val="bullet"/>
      <w:lvlText w:val="o"/>
      <w:lvlJc w:val="left"/>
      <w:pPr>
        <w:ind w:left="2291" w:hanging="359"/>
      </w:pPr>
      <w:rPr>
        <w:rFonts w:ascii="Courier New" w:hAnsi="Courier New"/>
      </w:rPr>
    </w:lvl>
    <w:lvl w:ilvl="2" w:tplc="2D22FB58">
      <w:start w:val="1"/>
      <w:numFmt w:val="bullet"/>
      <w:lvlText w:val=""/>
      <w:lvlJc w:val="left"/>
      <w:pPr>
        <w:ind w:left="3011" w:hanging="359"/>
      </w:pPr>
      <w:rPr>
        <w:rFonts w:ascii="Wingdings" w:hAnsi="Wingdings"/>
      </w:rPr>
    </w:lvl>
    <w:lvl w:ilvl="3" w:tplc="E6782C8E">
      <w:start w:val="1"/>
      <w:numFmt w:val="bullet"/>
      <w:lvlText w:val=""/>
      <w:lvlJc w:val="left"/>
      <w:pPr>
        <w:ind w:left="3731" w:hanging="359"/>
      </w:pPr>
      <w:rPr>
        <w:rFonts w:ascii="Symbol" w:hAnsi="Symbol"/>
      </w:rPr>
    </w:lvl>
    <w:lvl w:ilvl="4" w:tplc="A18263EC">
      <w:start w:val="1"/>
      <w:numFmt w:val="bullet"/>
      <w:lvlText w:val="o"/>
      <w:lvlJc w:val="left"/>
      <w:pPr>
        <w:ind w:left="4451" w:hanging="359"/>
      </w:pPr>
      <w:rPr>
        <w:rFonts w:ascii="Courier New" w:hAnsi="Courier New"/>
      </w:rPr>
    </w:lvl>
    <w:lvl w:ilvl="5" w:tplc="B1E2D6B0">
      <w:start w:val="1"/>
      <w:numFmt w:val="bullet"/>
      <w:lvlText w:val=""/>
      <w:lvlJc w:val="left"/>
      <w:pPr>
        <w:ind w:left="5171" w:hanging="359"/>
      </w:pPr>
      <w:rPr>
        <w:rFonts w:ascii="Wingdings" w:hAnsi="Wingdings"/>
      </w:rPr>
    </w:lvl>
    <w:lvl w:ilvl="6" w:tplc="D618DCF4">
      <w:start w:val="1"/>
      <w:numFmt w:val="bullet"/>
      <w:lvlText w:val=""/>
      <w:lvlJc w:val="left"/>
      <w:pPr>
        <w:ind w:left="5891" w:hanging="359"/>
      </w:pPr>
      <w:rPr>
        <w:rFonts w:ascii="Symbol" w:hAnsi="Symbol"/>
      </w:rPr>
    </w:lvl>
    <w:lvl w:ilvl="7" w:tplc="0C3A6E9A">
      <w:start w:val="1"/>
      <w:numFmt w:val="bullet"/>
      <w:lvlText w:val="o"/>
      <w:lvlJc w:val="left"/>
      <w:pPr>
        <w:ind w:left="6611" w:hanging="359"/>
      </w:pPr>
      <w:rPr>
        <w:rFonts w:ascii="Courier New" w:hAnsi="Courier New"/>
      </w:rPr>
    </w:lvl>
    <w:lvl w:ilvl="8" w:tplc="9356EE22">
      <w:start w:val="1"/>
      <w:numFmt w:val="bullet"/>
      <w:lvlText w:val=""/>
      <w:lvlJc w:val="left"/>
      <w:pPr>
        <w:ind w:left="7331" w:hanging="359"/>
      </w:pPr>
      <w:rPr>
        <w:rFonts w:ascii="Wingdings" w:hAnsi="Wingdings"/>
      </w:rPr>
    </w:lvl>
  </w:abstractNum>
  <w:abstractNum w:abstractNumId="2" w15:restartNumberingAfterBreak="0">
    <w:nsid w:val="37AF74EA"/>
    <w:multiLevelType w:val="hybridMultilevel"/>
    <w:tmpl w:val="08724026"/>
    <w:lvl w:ilvl="0" w:tplc="2E46BA70">
      <w:start w:val="1"/>
      <w:numFmt w:val="bullet"/>
      <w:lvlText w:val=""/>
      <w:lvlJc w:val="left"/>
      <w:pPr>
        <w:tabs>
          <w:tab w:val="num" w:pos="567"/>
        </w:tabs>
        <w:ind w:left="567" w:hanging="207"/>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DF57A7"/>
    <w:multiLevelType w:val="hybridMultilevel"/>
    <w:tmpl w:val="EC728E0C"/>
    <w:lvl w:ilvl="0" w:tplc="2E46BA70">
      <w:start w:val="1"/>
      <w:numFmt w:val="bullet"/>
      <w:lvlText w:val=""/>
      <w:lvlJc w:val="left"/>
      <w:pPr>
        <w:tabs>
          <w:tab w:val="num" w:pos="567"/>
        </w:tabs>
        <w:ind w:left="567" w:hanging="207"/>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2D2"/>
    <w:rsid w:val="0000045A"/>
    <w:rsid w:val="00000808"/>
    <w:rsid w:val="0000140C"/>
    <w:rsid w:val="00001835"/>
    <w:rsid w:val="00001F60"/>
    <w:rsid w:val="00006EF9"/>
    <w:rsid w:val="00006FA6"/>
    <w:rsid w:val="000078CE"/>
    <w:rsid w:val="00007A57"/>
    <w:rsid w:val="00007D25"/>
    <w:rsid w:val="000108F3"/>
    <w:rsid w:val="00010F4E"/>
    <w:rsid w:val="000125C5"/>
    <w:rsid w:val="00013FA9"/>
    <w:rsid w:val="00014AA3"/>
    <w:rsid w:val="00015107"/>
    <w:rsid w:val="00015A75"/>
    <w:rsid w:val="00015EEE"/>
    <w:rsid w:val="000161F2"/>
    <w:rsid w:val="00016DD3"/>
    <w:rsid w:val="000170BB"/>
    <w:rsid w:val="000206B7"/>
    <w:rsid w:val="00023481"/>
    <w:rsid w:val="00024F92"/>
    <w:rsid w:val="00025109"/>
    <w:rsid w:val="00025708"/>
    <w:rsid w:val="000305BE"/>
    <w:rsid w:val="00032256"/>
    <w:rsid w:val="0003436D"/>
    <w:rsid w:val="0003536F"/>
    <w:rsid w:val="00035466"/>
    <w:rsid w:val="000355B7"/>
    <w:rsid w:val="00040722"/>
    <w:rsid w:val="000419FE"/>
    <w:rsid w:val="000420D0"/>
    <w:rsid w:val="00047285"/>
    <w:rsid w:val="000502EC"/>
    <w:rsid w:val="00052438"/>
    <w:rsid w:val="00053A46"/>
    <w:rsid w:val="00053BEF"/>
    <w:rsid w:val="00053D08"/>
    <w:rsid w:val="00054ACD"/>
    <w:rsid w:val="00054D67"/>
    <w:rsid w:val="00056BB0"/>
    <w:rsid w:val="0005729C"/>
    <w:rsid w:val="00064EF8"/>
    <w:rsid w:val="0006770C"/>
    <w:rsid w:val="00067961"/>
    <w:rsid w:val="00072A48"/>
    <w:rsid w:val="000736A3"/>
    <w:rsid w:val="00074A70"/>
    <w:rsid w:val="00076676"/>
    <w:rsid w:val="0007701F"/>
    <w:rsid w:val="00077ED6"/>
    <w:rsid w:val="00080159"/>
    <w:rsid w:val="0008038A"/>
    <w:rsid w:val="000806CA"/>
    <w:rsid w:val="00080B8C"/>
    <w:rsid w:val="00081554"/>
    <w:rsid w:val="000831B6"/>
    <w:rsid w:val="00083A78"/>
    <w:rsid w:val="00085223"/>
    <w:rsid w:val="00086E57"/>
    <w:rsid w:val="000902D3"/>
    <w:rsid w:val="00091445"/>
    <w:rsid w:val="000915A1"/>
    <w:rsid w:val="0009267E"/>
    <w:rsid w:val="00092D7C"/>
    <w:rsid w:val="00093595"/>
    <w:rsid w:val="00093B9F"/>
    <w:rsid w:val="00094230"/>
    <w:rsid w:val="0009506F"/>
    <w:rsid w:val="000969CA"/>
    <w:rsid w:val="000A0153"/>
    <w:rsid w:val="000A2EAB"/>
    <w:rsid w:val="000A2EEC"/>
    <w:rsid w:val="000A36D3"/>
    <w:rsid w:val="000A6017"/>
    <w:rsid w:val="000A769F"/>
    <w:rsid w:val="000A7DD2"/>
    <w:rsid w:val="000B0C61"/>
    <w:rsid w:val="000B0F8F"/>
    <w:rsid w:val="000B2CAC"/>
    <w:rsid w:val="000B3D63"/>
    <w:rsid w:val="000B3DFE"/>
    <w:rsid w:val="000B4723"/>
    <w:rsid w:val="000B4CB7"/>
    <w:rsid w:val="000B4DF8"/>
    <w:rsid w:val="000B5BCC"/>
    <w:rsid w:val="000B7625"/>
    <w:rsid w:val="000B781F"/>
    <w:rsid w:val="000C01A0"/>
    <w:rsid w:val="000C0664"/>
    <w:rsid w:val="000C3CAB"/>
    <w:rsid w:val="000C4549"/>
    <w:rsid w:val="000C4563"/>
    <w:rsid w:val="000C5502"/>
    <w:rsid w:val="000C64A6"/>
    <w:rsid w:val="000C6533"/>
    <w:rsid w:val="000C7CBD"/>
    <w:rsid w:val="000D0740"/>
    <w:rsid w:val="000D3293"/>
    <w:rsid w:val="000D4836"/>
    <w:rsid w:val="000D54B4"/>
    <w:rsid w:val="000D5E2C"/>
    <w:rsid w:val="000D7F5D"/>
    <w:rsid w:val="000E1541"/>
    <w:rsid w:val="000E20F5"/>
    <w:rsid w:val="000E237B"/>
    <w:rsid w:val="000E46B2"/>
    <w:rsid w:val="000E4DDC"/>
    <w:rsid w:val="000E4F1F"/>
    <w:rsid w:val="000E7FDD"/>
    <w:rsid w:val="000F1616"/>
    <w:rsid w:val="000F1F14"/>
    <w:rsid w:val="000F43D7"/>
    <w:rsid w:val="000F6F66"/>
    <w:rsid w:val="000F7F48"/>
    <w:rsid w:val="00100357"/>
    <w:rsid w:val="0010349F"/>
    <w:rsid w:val="00106882"/>
    <w:rsid w:val="001070B1"/>
    <w:rsid w:val="00107BF0"/>
    <w:rsid w:val="00110746"/>
    <w:rsid w:val="00111997"/>
    <w:rsid w:val="00111C97"/>
    <w:rsid w:val="00111FFA"/>
    <w:rsid w:val="00112587"/>
    <w:rsid w:val="00112C28"/>
    <w:rsid w:val="0011339C"/>
    <w:rsid w:val="001145D9"/>
    <w:rsid w:val="00114788"/>
    <w:rsid w:val="001177B6"/>
    <w:rsid w:val="001209FD"/>
    <w:rsid w:val="001213E9"/>
    <w:rsid w:val="00121963"/>
    <w:rsid w:val="001221D1"/>
    <w:rsid w:val="001222A7"/>
    <w:rsid w:val="00123BCE"/>
    <w:rsid w:val="001241CD"/>
    <w:rsid w:val="00125DEC"/>
    <w:rsid w:val="00127285"/>
    <w:rsid w:val="001327BE"/>
    <w:rsid w:val="0013345A"/>
    <w:rsid w:val="00134EB3"/>
    <w:rsid w:val="001358EC"/>
    <w:rsid w:val="00135F3D"/>
    <w:rsid w:val="001404AF"/>
    <w:rsid w:val="00142315"/>
    <w:rsid w:val="00142C0D"/>
    <w:rsid w:val="001431CF"/>
    <w:rsid w:val="00144383"/>
    <w:rsid w:val="0014452A"/>
    <w:rsid w:val="00147716"/>
    <w:rsid w:val="00147DCF"/>
    <w:rsid w:val="0015241A"/>
    <w:rsid w:val="0015334A"/>
    <w:rsid w:val="001544E7"/>
    <w:rsid w:val="00154BFF"/>
    <w:rsid w:val="001601DE"/>
    <w:rsid w:val="001606BF"/>
    <w:rsid w:val="00160FCD"/>
    <w:rsid w:val="0016251C"/>
    <w:rsid w:val="00163845"/>
    <w:rsid w:val="00164341"/>
    <w:rsid w:val="0016440B"/>
    <w:rsid w:val="00164AB6"/>
    <w:rsid w:val="00164C47"/>
    <w:rsid w:val="001657BA"/>
    <w:rsid w:val="00167CAF"/>
    <w:rsid w:val="00167DF4"/>
    <w:rsid w:val="00167F3E"/>
    <w:rsid w:val="00170D2B"/>
    <w:rsid w:val="00171441"/>
    <w:rsid w:val="001716F9"/>
    <w:rsid w:val="00172208"/>
    <w:rsid w:val="00172485"/>
    <w:rsid w:val="0017498F"/>
    <w:rsid w:val="00175333"/>
    <w:rsid w:val="0017790A"/>
    <w:rsid w:val="00177EF1"/>
    <w:rsid w:val="00180B55"/>
    <w:rsid w:val="001810B0"/>
    <w:rsid w:val="00182748"/>
    <w:rsid w:val="001828AC"/>
    <w:rsid w:val="00183523"/>
    <w:rsid w:val="0018385E"/>
    <w:rsid w:val="00183C8D"/>
    <w:rsid w:val="001841F3"/>
    <w:rsid w:val="00184238"/>
    <w:rsid w:val="00185925"/>
    <w:rsid w:val="00186104"/>
    <w:rsid w:val="00187959"/>
    <w:rsid w:val="00190708"/>
    <w:rsid w:val="00192BEF"/>
    <w:rsid w:val="00192DDC"/>
    <w:rsid w:val="001937E8"/>
    <w:rsid w:val="00194E65"/>
    <w:rsid w:val="001973E2"/>
    <w:rsid w:val="001978EB"/>
    <w:rsid w:val="00197D44"/>
    <w:rsid w:val="001A138C"/>
    <w:rsid w:val="001A32D0"/>
    <w:rsid w:val="001A43C4"/>
    <w:rsid w:val="001A4FD8"/>
    <w:rsid w:val="001A6791"/>
    <w:rsid w:val="001A72CF"/>
    <w:rsid w:val="001B178A"/>
    <w:rsid w:val="001B186E"/>
    <w:rsid w:val="001B22A5"/>
    <w:rsid w:val="001B38E8"/>
    <w:rsid w:val="001B3D29"/>
    <w:rsid w:val="001C0458"/>
    <w:rsid w:val="001C07A5"/>
    <w:rsid w:val="001C0ECA"/>
    <w:rsid w:val="001C5069"/>
    <w:rsid w:val="001D0428"/>
    <w:rsid w:val="001D1183"/>
    <w:rsid w:val="001D156D"/>
    <w:rsid w:val="001D1E9A"/>
    <w:rsid w:val="001D2746"/>
    <w:rsid w:val="001D3A65"/>
    <w:rsid w:val="001D4386"/>
    <w:rsid w:val="001D4614"/>
    <w:rsid w:val="001D4EB1"/>
    <w:rsid w:val="001D5CDE"/>
    <w:rsid w:val="001D6092"/>
    <w:rsid w:val="001D7D54"/>
    <w:rsid w:val="001E1CAB"/>
    <w:rsid w:val="001E2C89"/>
    <w:rsid w:val="001E2C8E"/>
    <w:rsid w:val="001E35B4"/>
    <w:rsid w:val="001E3BF7"/>
    <w:rsid w:val="001E412F"/>
    <w:rsid w:val="001E612B"/>
    <w:rsid w:val="001E67A2"/>
    <w:rsid w:val="001E6B38"/>
    <w:rsid w:val="001E7836"/>
    <w:rsid w:val="001E7FCB"/>
    <w:rsid w:val="001E7FE9"/>
    <w:rsid w:val="001F0A01"/>
    <w:rsid w:val="001F33CC"/>
    <w:rsid w:val="001F33DC"/>
    <w:rsid w:val="001F36BF"/>
    <w:rsid w:val="001F66D1"/>
    <w:rsid w:val="001F6B33"/>
    <w:rsid w:val="001F7809"/>
    <w:rsid w:val="00201025"/>
    <w:rsid w:val="0020275C"/>
    <w:rsid w:val="00202A36"/>
    <w:rsid w:val="00203F39"/>
    <w:rsid w:val="00204095"/>
    <w:rsid w:val="002045C2"/>
    <w:rsid w:val="00206305"/>
    <w:rsid w:val="00206E44"/>
    <w:rsid w:val="002071B2"/>
    <w:rsid w:val="002074AB"/>
    <w:rsid w:val="00210ADF"/>
    <w:rsid w:val="002128FD"/>
    <w:rsid w:val="00212FAC"/>
    <w:rsid w:val="0021470F"/>
    <w:rsid w:val="00214CDC"/>
    <w:rsid w:val="002156AF"/>
    <w:rsid w:val="002160BE"/>
    <w:rsid w:val="0021648A"/>
    <w:rsid w:val="00217401"/>
    <w:rsid w:val="00220898"/>
    <w:rsid w:val="00220E49"/>
    <w:rsid w:val="00222C95"/>
    <w:rsid w:val="00223CF7"/>
    <w:rsid w:val="0022500C"/>
    <w:rsid w:val="002271E4"/>
    <w:rsid w:val="00230092"/>
    <w:rsid w:val="00231A28"/>
    <w:rsid w:val="00232346"/>
    <w:rsid w:val="00233DF2"/>
    <w:rsid w:val="002353EF"/>
    <w:rsid w:val="002356B6"/>
    <w:rsid w:val="0023715A"/>
    <w:rsid w:val="002413F4"/>
    <w:rsid w:val="00241C3C"/>
    <w:rsid w:val="00241EA1"/>
    <w:rsid w:val="002427DC"/>
    <w:rsid w:val="002437B3"/>
    <w:rsid w:val="0024427A"/>
    <w:rsid w:val="002472B0"/>
    <w:rsid w:val="00250217"/>
    <w:rsid w:val="0025047E"/>
    <w:rsid w:val="00252E51"/>
    <w:rsid w:val="00253B5E"/>
    <w:rsid w:val="00254B2D"/>
    <w:rsid w:val="00254D18"/>
    <w:rsid w:val="0025527C"/>
    <w:rsid w:val="00255B8C"/>
    <w:rsid w:val="00255DC6"/>
    <w:rsid w:val="00256BC4"/>
    <w:rsid w:val="00256C0F"/>
    <w:rsid w:val="002620F7"/>
    <w:rsid w:val="00264A59"/>
    <w:rsid w:val="00265229"/>
    <w:rsid w:val="00271ACA"/>
    <w:rsid w:val="00271E45"/>
    <w:rsid w:val="00273218"/>
    <w:rsid w:val="0027377D"/>
    <w:rsid w:val="00276A95"/>
    <w:rsid w:val="00277BCC"/>
    <w:rsid w:val="0028006A"/>
    <w:rsid w:val="00280B8F"/>
    <w:rsid w:val="002814E6"/>
    <w:rsid w:val="00281742"/>
    <w:rsid w:val="00281904"/>
    <w:rsid w:val="002869A8"/>
    <w:rsid w:val="0028737F"/>
    <w:rsid w:val="00291E81"/>
    <w:rsid w:val="002928EC"/>
    <w:rsid w:val="002930BC"/>
    <w:rsid w:val="0029326D"/>
    <w:rsid w:val="00297052"/>
    <w:rsid w:val="002A0480"/>
    <w:rsid w:val="002A1A9B"/>
    <w:rsid w:val="002A2830"/>
    <w:rsid w:val="002A375F"/>
    <w:rsid w:val="002A3BCE"/>
    <w:rsid w:val="002A3D41"/>
    <w:rsid w:val="002A5048"/>
    <w:rsid w:val="002A5C50"/>
    <w:rsid w:val="002A6FD4"/>
    <w:rsid w:val="002B05A2"/>
    <w:rsid w:val="002B2BCB"/>
    <w:rsid w:val="002B2F11"/>
    <w:rsid w:val="002B3FC4"/>
    <w:rsid w:val="002B45EE"/>
    <w:rsid w:val="002B5429"/>
    <w:rsid w:val="002B7CDA"/>
    <w:rsid w:val="002C0462"/>
    <w:rsid w:val="002C1115"/>
    <w:rsid w:val="002C3B20"/>
    <w:rsid w:val="002C4008"/>
    <w:rsid w:val="002C41A1"/>
    <w:rsid w:val="002C6012"/>
    <w:rsid w:val="002C6050"/>
    <w:rsid w:val="002C6459"/>
    <w:rsid w:val="002D349B"/>
    <w:rsid w:val="002D45D4"/>
    <w:rsid w:val="002D475A"/>
    <w:rsid w:val="002D5165"/>
    <w:rsid w:val="002D6044"/>
    <w:rsid w:val="002D6792"/>
    <w:rsid w:val="002D6BB5"/>
    <w:rsid w:val="002D6DFB"/>
    <w:rsid w:val="002D7207"/>
    <w:rsid w:val="002E206C"/>
    <w:rsid w:val="002E2647"/>
    <w:rsid w:val="002E4061"/>
    <w:rsid w:val="002E6FE0"/>
    <w:rsid w:val="002E787E"/>
    <w:rsid w:val="002F013B"/>
    <w:rsid w:val="002F0627"/>
    <w:rsid w:val="002F1568"/>
    <w:rsid w:val="002F2293"/>
    <w:rsid w:val="002F36C0"/>
    <w:rsid w:val="002F416D"/>
    <w:rsid w:val="002F41C1"/>
    <w:rsid w:val="002F4528"/>
    <w:rsid w:val="002F4533"/>
    <w:rsid w:val="003003E9"/>
    <w:rsid w:val="003005A2"/>
    <w:rsid w:val="0030095D"/>
    <w:rsid w:val="00300E5F"/>
    <w:rsid w:val="00302B17"/>
    <w:rsid w:val="00305302"/>
    <w:rsid w:val="0030552C"/>
    <w:rsid w:val="00305B5C"/>
    <w:rsid w:val="00305EB7"/>
    <w:rsid w:val="00306057"/>
    <w:rsid w:val="003101BC"/>
    <w:rsid w:val="003115DA"/>
    <w:rsid w:val="0031176F"/>
    <w:rsid w:val="0031368A"/>
    <w:rsid w:val="003201CC"/>
    <w:rsid w:val="0032044B"/>
    <w:rsid w:val="003209CD"/>
    <w:rsid w:val="00320C03"/>
    <w:rsid w:val="00320E0D"/>
    <w:rsid w:val="003218C1"/>
    <w:rsid w:val="0032190C"/>
    <w:rsid w:val="00322592"/>
    <w:rsid w:val="00323B67"/>
    <w:rsid w:val="00327815"/>
    <w:rsid w:val="00330762"/>
    <w:rsid w:val="00334299"/>
    <w:rsid w:val="00334FDD"/>
    <w:rsid w:val="00336B54"/>
    <w:rsid w:val="003411FB"/>
    <w:rsid w:val="00341263"/>
    <w:rsid w:val="00341D46"/>
    <w:rsid w:val="00344786"/>
    <w:rsid w:val="00345B41"/>
    <w:rsid w:val="0035088F"/>
    <w:rsid w:val="00351348"/>
    <w:rsid w:val="003513AE"/>
    <w:rsid w:val="00351594"/>
    <w:rsid w:val="003520E0"/>
    <w:rsid w:val="00352B4E"/>
    <w:rsid w:val="003550CE"/>
    <w:rsid w:val="00355453"/>
    <w:rsid w:val="0035752A"/>
    <w:rsid w:val="00357684"/>
    <w:rsid w:val="003603FA"/>
    <w:rsid w:val="003611EC"/>
    <w:rsid w:val="00361351"/>
    <w:rsid w:val="0036265B"/>
    <w:rsid w:val="003626A5"/>
    <w:rsid w:val="00363C41"/>
    <w:rsid w:val="00364812"/>
    <w:rsid w:val="00364816"/>
    <w:rsid w:val="003651E0"/>
    <w:rsid w:val="0036700A"/>
    <w:rsid w:val="00372C1E"/>
    <w:rsid w:val="0037446C"/>
    <w:rsid w:val="00376193"/>
    <w:rsid w:val="00376445"/>
    <w:rsid w:val="003778AF"/>
    <w:rsid w:val="00377F73"/>
    <w:rsid w:val="00380721"/>
    <w:rsid w:val="00380FDA"/>
    <w:rsid w:val="003824C9"/>
    <w:rsid w:val="00383F9C"/>
    <w:rsid w:val="00384184"/>
    <w:rsid w:val="003849A8"/>
    <w:rsid w:val="0038550A"/>
    <w:rsid w:val="003857C7"/>
    <w:rsid w:val="00386EF5"/>
    <w:rsid w:val="003900AC"/>
    <w:rsid w:val="0039048C"/>
    <w:rsid w:val="00390C97"/>
    <w:rsid w:val="00392194"/>
    <w:rsid w:val="00392C26"/>
    <w:rsid w:val="0039307F"/>
    <w:rsid w:val="0039488C"/>
    <w:rsid w:val="003955FE"/>
    <w:rsid w:val="00396CB9"/>
    <w:rsid w:val="00396F12"/>
    <w:rsid w:val="00397910"/>
    <w:rsid w:val="00397CD7"/>
    <w:rsid w:val="003A11A1"/>
    <w:rsid w:val="003A156C"/>
    <w:rsid w:val="003A1C8D"/>
    <w:rsid w:val="003A299B"/>
    <w:rsid w:val="003A2C81"/>
    <w:rsid w:val="003A3132"/>
    <w:rsid w:val="003A40C9"/>
    <w:rsid w:val="003A50BD"/>
    <w:rsid w:val="003A6D83"/>
    <w:rsid w:val="003A7A7E"/>
    <w:rsid w:val="003A7E68"/>
    <w:rsid w:val="003B00AD"/>
    <w:rsid w:val="003B068E"/>
    <w:rsid w:val="003B09AD"/>
    <w:rsid w:val="003B11A1"/>
    <w:rsid w:val="003B136D"/>
    <w:rsid w:val="003B1B4C"/>
    <w:rsid w:val="003B278D"/>
    <w:rsid w:val="003B5228"/>
    <w:rsid w:val="003B721F"/>
    <w:rsid w:val="003C086B"/>
    <w:rsid w:val="003C0E77"/>
    <w:rsid w:val="003C1865"/>
    <w:rsid w:val="003C20B8"/>
    <w:rsid w:val="003C3C8F"/>
    <w:rsid w:val="003C4AF3"/>
    <w:rsid w:val="003C4E62"/>
    <w:rsid w:val="003C504C"/>
    <w:rsid w:val="003C564E"/>
    <w:rsid w:val="003C692A"/>
    <w:rsid w:val="003C70CC"/>
    <w:rsid w:val="003C7189"/>
    <w:rsid w:val="003C7926"/>
    <w:rsid w:val="003C7EE9"/>
    <w:rsid w:val="003D0CBA"/>
    <w:rsid w:val="003D196E"/>
    <w:rsid w:val="003D1FA9"/>
    <w:rsid w:val="003D2BAC"/>
    <w:rsid w:val="003D2F45"/>
    <w:rsid w:val="003D34D7"/>
    <w:rsid w:val="003D4A06"/>
    <w:rsid w:val="003D693F"/>
    <w:rsid w:val="003E06EF"/>
    <w:rsid w:val="003E071D"/>
    <w:rsid w:val="003E0EA9"/>
    <w:rsid w:val="003E0F07"/>
    <w:rsid w:val="003E1322"/>
    <w:rsid w:val="003E1442"/>
    <w:rsid w:val="003E395E"/>
    <w:rsid w:val="003E3D5F"/>
    <w:rsid w:val="003F0860"/>
    <w:rsid w:val="003F15AC"/>
    <w:rsid w:val="003F18CE"/>
    <w:rsid w:val="003F6293"/>
    <w:rsid w:val="003F681E"/>
    <w:rsid w:val="003F6A62"/>
    <w:rsid w:val="003F6AAB"/>
    <w:rsid w:val="003F73B2"/>
    <w:rsid w:val="00400577"/>
    <w:rsid w:val="004010B0"/>
    <w:rsid w:val="0040180D"/>
    <w:rsid w:val="00401C98"/>
    <w:rsid w:val="00402041"/>
    <w:rsid w:val="0040322A"/>
    <w:rsid w:val="00404E13"/>
    <w:rsid w:val="00405798"/>
    <w:rsid w:val="00405CA5"/>
    <w:rsid w:val="00411345"/>
    <w:rsid w:val="00412A57"/>
    <w:rsid w:val="00412CA4"/>
    <w:rsid w:val="00414D2F"/>
    <w:rsid w:val="00416736"/>
    <w:rsid w:val="00421430"/>
    <w:rsid w:val="00421567"/>
    <w:rsid w:val="00421799"/>
    <w:rsid w:val="00422537"/>
    <w:rsid w:val="004237B0"/>
    <w:rsid w:val="00423FCA"/>
    <w:rsid w:val="004257A9"/>
    <w:rsid w:val="004264DF"/>
    <w:rsid w:val="00426A97"/>
    <w:rsid w:val="00427B90"/>
    <w:rsid w:val="00427DDD"/>
    <w:rsid w:val="0043175E"/>
    <w:rsid w:val="00433E34"/>
    <w:rsid w:val="004347F9"/>
    <w:rsid w:val="00434B57"/>
    <w:rsid w:val="004351A8"/>
    <w:rsid w:val="00435A2A"/>
    <w:rsid w:val="00435C2C"/>
    <w:rsid w:val="004414A7"/>
    <w:rsid w:val="004422EA"/>
    <w:rsid w:val="00444D4B"/>
    <w:rsid w:val="0044599B"/>
    <w:rsid w:val="004461DC"/>
    <w:rsid w:val="00447B34"/>
    <w:rsid w:val="0045008B"/>
    <w:rsid w:val="00452699"/>
    <w:rsid w:val="00452DCD"/>
    <w:rsid w:val="00453643"/>
    <w:rsid w:val="00454C7C"/>
    <w:rsid w:val="004564E4"/>
    <w:rsid w:val="00460E82"/>
    <w:rsid w:val="00462B64"/>
    <w:rsid w:val="00463E71"/>
    <w:rsid w:val="0046498C"/>
    <w:rsid w:val="004663C7"/>
    <w:rsid w:val="00470A15"/>
    <w:rsid w:val="00471306"/>
    <w:rsid w:val="0047173A"/>
    <w:rsid w:val="00471988"/>
    <w:rsid w:val="00471F82"/>
    <w:rsid w:val="00473670"/>
    <w:rsid w:val="004739E7"/>
    <w:rsid w:val="00473FDA"/>
    <w:rsid w:val="00474058"/>
    <w:rsid w:val="004745BE"/>
    <w:rsid w:val="00475190"/>
    <w:rsid w:val="00476FF9"/>
    <w:rsid w:val="0047721F"/>
    <w:rsid w:val="00480871"/>
    <w:rsid w:val="00481A02"/>
    <w:rsid w:val="00484FED"/>
    <w:rsid w:val="00485DAF"/>
    <w:rsid w:val="004863A5"/>
    <w:rsid w:val="0048773B"/>
    <w:rsid w:val="004877BB"/>
    <w:rsid w:val="0048789B"/>
    <w:rsid w:val="00491166"/>
    <w:rsid w:val="00491341"/>
    <w:rsid w:val="00492717"/>
    <w:rsid w:val="00492E24"/>
    <w:rsid w:val="00492E94"/>
    <w:rsid w:val="0049322C"/>
    <w:rsid w:val="0049544C"/>
    <w:rsid w:val="00496206"/>
    <w:rsid w:val="00496CF7"/>
    <w:rsid w:val="00496DE4"/>
    <w:rsid w:val="00496E0C"/>
    <w:rsid w:val="0049707B"/>
    <w:rsid w:val="00497180"/>
    <w:rsid w:val="004977B3"/>
    <w:rsid w:val="004A06CD"/>
    <w:rsid w:val="004A07A2"/>
    <w:rsid w:val="004A165E"/>
    <w:rsid w:val="004A1BCC"/>
    <w:rsid w:val="004A1F79"/>
    <w:rsid w:val="004A281D"/>
    <w:rsid w:val="004A2A6D"/>
    <w:rsid w:val="004A3254"/>
    <w:rsid w:val="004A5314"/>
    <w:rsid w:val="004A5FCB"/>
    <w:rsid w:val="004B0304"/>
    <w:rsid w:val="004B0E71"/>
    <w:rsid w:val="004B1A75"/>
    <w:rsid w:val="004B1B79"/>
    <w:rsid w:val="004B2438"/>
    <w:rsid w:val="004B5022"/>
    <w:rsid w:val="004B5F0B"/>
    <w:rsid w:val="004B6192"/>
    <w:rsid w:val="004B664C"/>
    <w:rsid w:val="004B6C18"/>
    <w:rsid w:val="004B6FF5"/>
    <w:rsid w:val="004B786F"/>
    <w:rsid w:val="004C0F16"/>
    <w:rsid w:val="004C2AD0"/>
    <w:rsid w:val="004C3651"/>
    <w:rsid w:val="004C4993"/>
    <w:rsid w:val="004C6944"/>
    <w:rsid w:val="004C6C99"/>
    <w:rsid w:val="004C7436"/>
    <w:rsid w:val="004C7B46"/>
    <w:rsid w:val="004D09A3"/>
    <w:rsid w:val="004D1F33"/>
    <w:rsid w:val="004D3A63"/>
    <w:rsid w:val="004D41E6"/>
    <w:rsid w:val="004D50A4"/>
    <w:rsid w:val="004D5517"/>
    <w:rsid w:val="004D57AB"/>
    <w:rsid w:val="004D5D57"/>
    <w:rsid w:val="004D6C89"/>
    <w:rsid w:val="004D7083"/>
    <w:rsid w:val="004D7313"/>
    <w:rsid w:val="004D7BCC"/>
    <w:rsid w:val="004D7C8C"/>
    <w:rsid w:val="004E1CC7"/>
    <w:rsid w:val="004E1DAE"/>
    <w:rsid w:val="004E2CAC"/>
    <w:rsid w:val="004E2FAA"/>
    <w:rsid w:val="004E36DA"/>
    <w:rsid w:val="004E3ABD"/>
    <w:rsid w:val="004E3CE6"/>
    <w:rsid w:val="004E5FCC"/>
    <w:rsid w:val="004E6338"/>
    <w:rsid w:val="004E68CD"/>
    <w:rsid w:val="004E73AF"/>
    <w:rsid w:val="004E73C8"/>
    <w:rsid w:val="004F09B9"/>
    <w:rsid w:val="004F198E"/>
    <w:rsid w:val="004F1E3C"/>
    <w:rsid w:val="004F23DB"/>
    <w:rsid w:val="004F3FDB"/>
    <w:rsid w:val="004F4026"/>
    <w:rsid w:val="004F5C2C"/>
    <w:rsid w:val="004F6B15"/>
    <w:rsid w:val="005003DA"/>
    <w:rsid w:val="00500638"/>
    <w:rsid w:val="00502A67"/>
    <w:rsid w:val="00503D68"/>
    <w:rsid w:val="00503E7B"/>
    <w:rsid w:val="00504A2C"/>
    <w:rsid w:val="00505567"/>
    <w:rsid w:val="00505907"/>
    <w:rsid w:val="005063B7"/>
    <w:rsid w:val="005068AA"/>
    <w:rsid w:val="00506B17"/>
    <w:rsid w:val="0050781D"/>
    <w:rsid w:val="0051057E"/>
    <w:rsid w:val="00510EE8"/>
    <w:rsid w:val="00513A8B"/>
    <w:rsid w:val="00513DCD"/>
    <w:rsid w:val="00514117"/>
    <w:rsid w:val="00514922"/>
    <w:rsid w:val="00521EEB"/>
    <w:rsid w:val="005226D0"/>
    <w:rsid w:val="0052315A"/>
    <w:rsid w:val="005234B8"/>
    <w:rsid w:val="00523BD0"/>
    <w:rsid w:val="005267E6"/>
    <w:rsid w:val="00531E75"/>
    <w:rsid w:val="00531EBF"/>
    <w:rsid w:val="00532E5D"/>
    <w:rsid w:val="00533468"/>
    <w:rsid w:val="00534CB1"/>
    <w:rsid w:val="005357E5"/>
    <w:rsid w:val="00535BA2"/>
    <w:rsid w:val="005370A8"/>
    <w:rsid w:val="0053773B"/>
    <w:rsid w:val="00537A2D"/>
    <w:rsid w:val="005453D7"/>
    <w:rsid w:val="00547A64"/>
    <w:rsid w:val="00550809"/>
    <w:rsid w:val="005509C8"/>
    <w:rsid w:val="005527B8"/>
    <w:rsid w:val="00553885"/>
    <w:rsid w:val="00555442"/>
    <w:rsid w:val="005565DC"/>
    <w:rsid w:val="00557FA9"/>
    <w:rsid w:val="0056027B"/>
    <w:rsid w:val="00561797"/>
    <w:rsid w:val="00562266"/>
    <w:rsid w:val="00562493"/>
    <w:rsid w:val="0056286A"/>
    <w:rsid w:val="00563032"/>
    <w:rsid w:val="00567F03"/>
    <w:rsid w:val="00572296"/>
    <w:rsid w:val="005726AC"/>
    <w:rsid w:val="005729CB"/>
    <w:rsid w:val="00572B5A"/>
    <w:rsid w:val="00572DF0"/>
    <w:rsid w:val="00573620"/>
    <w:rsid w:val="005737C4"/>
    <w:rsid w:val="00573B36"/>
    <w:rsid w:val="005743C9"/>
    <w:rsid w:val="00574EFD"/>
    <w:rsid w:val="00575BC4"/>
    <w:rsid w:val="00576209"/>
    <w:rsid w:val="00580D6E"/>
    <w:rsid w:val="00581471"/>
    <w:rsid w:val="00585B73"/>
    <w:rsid w:val="005874E0"/>
    <w:rsid w:val="00587507"/>
    <w:rsid w:val="00590108"/>
    <w:rsid w:val="005901F4"/>
    <w:rsid w:val="005908A4"/>
    <w:rsid w:val="00590B19"/>
    <w:rsid w:val="0059167D"/>
    <w:rsid w:val="0059168C"/>
    <w:rsid w:val="005956F0"/>
    <w:rsid w:val="00595ED5"/>
    <w:rsid w:val="00596277"/>
    <w:rsid w:val="00596A4E"/>
    <w:rsid w:val="00596F06"/>
    <w:rsid w:val="0059738C"/>
    <w:rsid w:val="005A037E"/>
    <w:rsid w:val="005A1DBB"/>
    <w:rsid w:val="005A25F9"/>
    <w:rsid w:val="005A353C"/>
    <w:rsid w:val="005A3605"/>
    <w:rsid w:val="005A3EDF"/>
    <w:rsid w:val="005A52DE"/>
    <w:rsid w:val="005A5445"/>
    <w:rsid w:val="005A5B2E"/>
    <w:rsid w:val="005A7F95"/>
    <w:rsid w:val="005B1C45"/>
    <w:rsid w:val="005B1F8D"/>
    <w:rsid w:val="005B3963"/>
    <w:rsid w:val="005B4044"/>
    <w:rsid w:val="005B4318"/>
    <w:rsid w:val="005B4703"/>
    <w:rsid w:val="005B5073"/>
    <w:rsid w:val="005B508E"/>
    <w:rsid w:val="005B5B86"/>
    <w:rsid w:val="005B5BCE"/>
    <w:rsid w:val="005C04A6"/>
    <w:rsid w:val="005C05A9"/>
    <w:rsid w:val="005C22AF"/>
    <w:rsid w:val="005C35E5"/>
    <w:rsid w:val="005C3B88"/>
    <w:rsid w:val="005C486A"/>
    <w:rsid w:val="005C5295"/>
    <w:rsid w:val="005C618F"/>
    <w:rsid w:val="005D11D7"/>
    <w:rsid w:val="005D1CE7"/>
    <w:rsid w:val="005D34F9"/>
    <w:rsid w:val="005D42CB"/>
    <w:rsid w:val="005D42D2"/>
    <w:rsid w:val="005D43B6"/>
    <w:rsid w:val="005E00DA"/>
    <w:rsid w:val="005E03D2"/>
    <w:rsid w:val="005E0C93"/>
    <w:rsid w:val="005E1C64"/>
    <w:rsid w:val="005E3C28"/>
    <w:rsid w:val="005E572B"/>
    <w:rsid w:val="005E5B52"/>
    <w:rsid w:val="005E60FD"/>
    <w:rsid w:val="005E6174"/>
    <w:rsid w:val="005E6C3A"/>
    <w:rsid w:val="005E7270"/>
    <w:rsid w:val="005E7AD3"/>
    <w:rsid w:val="005F255D"/>
    <w:rsid w:val="005F3819"/>
    <w:rsid w:val="005F390E"/>
    <w:rsid w:val="005F42D1"/>
    <w:rsid w:val="005F4E7B"/>
    <w:rsid w:val="005F4EA2"/>
    <w:rsid w:val="005F5D27"/>
    <w:rsid w:val="005F75C6"/>
    <w:rsid w:val="005F7D0E"/>
    <w:rsid w:val="006001CA"/>
    <w:rsid w:val="00600257"/>
    <w:rsid w:val="006002D2"/>
    <w:rsid w:val="00600304"/>
    <w:rsid w:val="006018B5"/>
    <w:rsid w:val="00601AA1"/>
    <w:rsid w:val="00602DBD"/>
    <w:rsid w:val="006040DA"/>
    <w:rsid w:val="0060410F"/>
    <w:rsid w:val="006052BE"/>
    <w:rsid w:val="006104C2"/>
    <w:rsid w:val="00610BEF"/>
    <w:rsid w:val="00610FF3"/>
    <w:rsid w:val="0061109C"/>
    <w:rsid w:val="006119E5"/>
    <w:rsid w:val="00611C5A"/>
    <w:rsid w:val="00612591"/>
    <w:rsid w:val="006126CB"/>
    <w:rsid w:val="00612C15"/>
    <w:rsid w:val="00613E91"/>
    <w:rsid w:val="00614200"/>
    <w:rsid w:val="00614AF7"/>
    <w:rsid w:val="0061612B"/>
    <w:rsid w:val="00616378"/>
    <w:rsid w:val="006166A3"/>
    <w:rsid w:val="006166CB"/>
    <w:rsid w:val="00616917"/>
    <w:rsid w:val="00616A6E"/>
    <w:rsid w:val="00616BB3"/>
    <w:rsid w:val="00621A60"/>
    <w:rsid w:val="00621B73"/>
    <w:rsid w:val="00623140"/>
    <w:rsid w:val="00625DC3"/>
    <w:rsid w:val="00626C5E"/>
    <w:rsid w:val="00627D6D"/>
    <w:rsid w:val="006311B8"/>
    <w:rsid w:val="006333EF"/>
    <w:rsid w:val="00633F6A"/>
    <w:rsid w:val="00634A23"/>
    <w:rsid w:val="00634C0A"/>
    <w:rsid w:val="006400B8"/>
    <w:rsid w:val="00640215"/>
    <w:rsid w:val="00640236"/>
    <w:rsid w:val="00641131"/>
    <w:rsid w:val="0064133F"/>
    <w:rsid w:val="00641C8B"/>
    <w:rsid w:val="00641E01"/>
    <w:rsid w:val="0064227F"/>
    <w:rsid w:val="00642B23"/>
    <w:rsid w:val="006440A5"/>
    <w:rsid w:val="006454A5"/>
    <w:rsid w:val="00645AC7"/>
    <w:rsid w:val="00646D66"/>
    <w:rsid w:val="00647B3E"/>
    <w:rsid w:val="00647E9D"/>
    <w:rsid w:val="006507AD"/>
    <w:rsid w:val="006520EF"/>
    <w:rsid w:val="00652CBF"/>
    <w:rsid w:val="00652D3B"/>
    <w:rsid w:val="0065417B"/>
    <w:rsid w:val="00654186"/>
    <w:rsid w:val="00654454"/>
    <w:rsid w:val="006548EE"/>
    <w:rsid w:val="006557AC"/>
    <w:rsid w:val="00657396"/>
    <w:rsid w:val="00657BBA"/>
    <w:rsid w:val="00660126"/>
    <w:rsid w:val="00662B03"/>
    <w:rsid w:val="00662BAA"/>
    <w:rsid w:val="0066385A"/>
    <w:rsid w:val="00663934"/>
    <w:rsid w:val="00664D2A"/>
    <w:rsid w:val="00664E1D"/>
    <w:rsid w:val="006653F4"/>
    <w:rsid w:val="00666E59"/>
    <w:rsid w:val="006678CC"/>
    <w:rsid w:val="00667B7A"/>
    <w:rsid w:val="0067041B"/>
    <w:rsid w:val="00670FDD"/>
    <w:rsid w:val="0067275B"/>
    <w:rsid w:val="006727C3"/>
    <w:rsid w:val="00672B9E"/>
    <w:rsid w:val="00672F09"/>
    <w:rsid w:val="00673443"/>
    <w:rsid w:val="00673B6B"/>
    <w:rsid w:val="006746B4"/>
    <w:rsid w:val="00674B0E"/>
    <w:rsid w:val="00674F46"/>
    <w:rsid w:val="00675572"/>
    <w:rsid w:val="0067730B"/>
    <w:rsid w:val="00677402"/>
    <w:rsid w:val="00680046"/>
    <w:rsid w:val="00680E97"/>
    <w:rsid w:val="00682261"/>
    <w:rsid w:val="00683350"/>
    <w:rsid w:val="0068389D"/>
    <w:rsid w:val="00684B74"/>
    <w:rsid w:val="00685E47"/>
    <w:rsid w:val="00687CE3"/>
    <w:rsid w:val="0069162C"/>
    <w:rsid w:val="0069251B"/>
    <w:rsid w:val="00693604"/>
    <w:rsid w:val="0069441C"/>
    <w:rsid w:val="00695DF4"/>
    <w:rsid w:val="00697529"/>
    <w:rsid w:val="00697894"/>
    <w:rsid w:val="006A2634"/>
    <w:rsid w:val="006A3132"/>
    <w:rsid w:val="006A3631"/>
    <w:rsid w:val="006A43BB"/>
    <w:rsid w:val="006A6D5A"/>
    <w:rsid w:val="006B34BF"/>
    <w:rsid w:val="006B3B8D"/>
    <w:rsid w:val="006B61CE"/>
    <w:rsid w:val="006B644B"/>
    <w:rsid w:val="006C0316"/>
    <w:rsid w:val="006C0915"/>
    <w:rsid w:val="006C0BF0"/>
    <w:rsid w:val="006C0F62"/>
    <w:rsid w:val="006C3209"/>
    <w:rsid w:val="006C38E3"/>
    <w:rsid w:val="006C7F3E"/>
    <w:rsid w:val="006D052D"/>
    <w:rsid w:val="006D0564"/>
    <w:rsid w:val="006D0586"/>
    <w:rsid w:val="006D2EA8"/>
    <w:rsid w:val="006D4C6C"/>
    <w:rsid w:val="006D55A7"/>
    <w:rsid w:val="006E0F42"/>
    <w:rsid w:val="006E271C"/>
    <w:rsid w:val="006E409E"/>
    <w:rsid w:val="006E4F67"/>
    <w:rsid w:val="006E5939"/>
    <w:rsid w:val="006E6D1C"/>
    <w:rsid w:val="006F0754"/>
    <w:rsid w:val="006F1E56"/>
    <w:rsid w:val="006F55A6"/>
    <w:rsid w:val="00700155"/>
    <w:rsid w:val="00702A5C"/>
    <w:rsid w:val="00703A2F"/>
    <w:rsid w:val="00704010"/>
    <w:rsid w:val="0070612D"/>
    <w:rsid w:val="007118F4"/>
    <w:rsid w:val="007120F5"/>
    <w:rsid w:val="00712903"/>
    <w:rsid w:val="00713817"/>
    <w:rsid w:val="00714A0D"/>
    <w:rsid w:val="00714BF8"/>
    <w:rsid w:val="0071676C"/>
    <w:rsid w:val="007168CE"/>
    <w:rsid w:val="007168D2"/>
    <w:rsid w:val="00716F3A"/>
    <w:rsid w:val="00720E39"/>
    <w:rsid w:val="00721ED4"/>
    <w:rsid w:val="007223DF"/>
    <w:rsid w:val="00722449"/>
    <w:rsid w:val="0072322D"/>
    <w:rsid w:val="00723794"/>
    <w:rsid w:val="00723E3B"/>
    <w:rsid w:val="00723FCF"/>
    <w:rsid w:val="00727218"/>
    <w:rsid w:val="00727798"/>
    <w:rsid w:val="00730824"/>
    <w:rsid w:val="00730B11"/>
    <w:rsid w:val="00736E45"/>
    <w:rsid w:val="00737C6A"/>
    <w:rsid w:val="0074001B"/>
    <w:rsid w:val="007420CD"/>
    <w:rsid w:val="0074246E"/>
    <w:rsid w:val="00743619"/>
    <w:rsid w:val="00744DE5"/>
    <w:rsid w:val="007462AA"/>
    <w:rsid w:val="00746BF8"/>
    <w:rsid w:val="00747105"/>
    <w:rsid w:val="007473B7"/>
    <w:rsid w:val="0075038B"/>
    <w:rsid w:val="00750C35"/>
    <w:rsid w:val="0075151C"/>
    <w:rsid w:val="00751887"/>
    <w:rsid w:val="00757ABA"/>
    <w:rsid w:val="007613A8"/>
    <w:rsid w:val="007639DB"/>
    <w:rsid w:val="0076421F"/>
    <w:rsid w:val="007646D5"/>
    <w:rsid w:val="00766343"/>
    <w:rsid w:val="007667D0"/>
    <w:rsid w:val="00770968"/>
    <w:rsid w:val="0077103B"/>
    <w:rsid w:val="007738A0"/>
    <w:rsid w:val="007744AF"/>
    <w:rsid w:val="007745CB"/>
    <w:rsid w:val="007751C8"/>
    <w:rsid w:val="007758FC"/>
    <w:rsid w:val="00776A6D"/>
    <w:rsid w:val="007812DD"/>
    <w:rsid w:val="00782686"/>
    <w:rsid w:val="0078355D"/>
    <w:rsid w:val="007835DE"/>
    <w:rsid w:val="00783B58"/>
    <w:rsid w:val="00784313"/>
    <w:rsid w:val="007850F8"/>
    <w:rsid w:val="00786203"/>
    <w:rsid w:val="007864EC"/>
    <w:rsid w:val="007874CA"/>
    <w:rsid w:val="0079065B"/>
    <w:rsid w:val="00791D82"/>
    <w:rsid w:val="00791D9F"/>
    <w:rsid w:val="007934E9"/>
    <w:rsid w:val="0079359A"/>
    <w:rsid w:val="00793C29"/>
    <w:rsid w:val="0079479D"/>
    <w:rsid w:val="00794868"/>
    <w:rsid w:val="00795586"/>
    <w:rsid w:val="0079578C"/>
    <w:rsid w:val="00796822"/>
    <w:rsid w:val="007972BB"/>
    <w:rsid w:val="00797410"/>
    <w:rsid w:val="007A14D7"/>
    <w:rsid w:val="007A1E89"/>
    <w:rsid w:val="007A2636"/>
    <w:rsid w:val="007A302B"/>
    <w:rsid w:val="007A45EC"/>
    <w:rsid w:val="007A50DE"/>
    <w:rsid w:val="007A6DC6"/>
    <w:rsid w:val="007A6F6C"/>
    <w:rsid w:val="007A7D11"/>
    <w:rsid w:val="007A7E06"/>
    <w:rsid w:val="007B2521"/>
    <w:rsid w:val="007B4648"/>
    <w:rsid w:val="007B49F8"/>
    <w:rsid w:val="007B6838"/>
    <w:rsid w:val="007B7A35"/>
    <w:rsid w:val="007B7F20"/>
    <w:rsid w:val="007C0478"/>
    <w:rsid w:val="007C3618"/>
    <w:rsid w:val="007C4557"/>
    <w:rsid w:val="007C4B5A"/>
    <w:rsid w:val="007C4D00"/>
    <w:rsid w:val="007C5E4E"/>
    <w:rsid w:val="007C5F40"/>
    <w:rsid w:val="007C6DE9"/>
    <w:rsid w:val="007D0319"/>
    <w:rsid w:val="007D238D"/>
    <w:rsid w:val="007D320F"/>
    <w:rsid w:val="007D4C42"/>
    <w:rsid w:val="007D708F"/>
    <w:rsid w:val="007D7D00"/>
    <w:rsid w:val="007D7F3F"/>
    <w:rsid w:val="007E0C7E"/>
    <w:rsid w:val="007E25BF"/>
    <w:rsid w:val="007E29DC"/>
    <w:rsid w:val="007E4CA2"/>
    <w:rsid w:val="007E4D00"/>
    <w:rsid w:val="007E4D04"/>
    <w:rsid w:val="007E4F81"/>
    <w:rsid w:val="007E510B"/>
    <w:rsid w:val="007E6B39"/>
    <w:rsid w:val="007F04C8"/>
    <w:rsid w:val="007F672F"/>
    <w:rsid w:val="007F686B"/>
    <w:rsid w:val="007F7119"/>
    <w:rsid w:val="0080057A"/>
    <w:rsid w:val="00806F10"/>
    <w:rsid w:val="00806F80"/>
    <w:rsid w:val="00811883"/>
    <w:rsid w:val="00813B2D"/>
    <w:rsid w:val="00814F92"/>
    <w:rsid w:val="00815137"/>
    <w:rsid w:val="0081784C"/>
    <w:rsid w:val="00817F6A"/>
    <w:rsid w:val="00822711"/>
    <w:rsid w:val="00822C0D"/>
    <w:rsid w:val="00822C41"/>
    <w:rsid w:val="00822CE9"/>
    <w:rsid w:val="00823986"/>
    <w:rsid w:val="00823B5D"/>
    <w:rsid w:val="008249A5"/>
    <w:rsid w:val="00824A6F"/>
    <w:rsid w:val="00824FA4"/>
    <w:rsid w:val="00827F6C"/>
    <w:rsid w:val="00830A06"/>
    <w:rsid w:val="00831080"/>
    <w:rsid w:val="00831307"/>
    <w:rsid w:val="00831639"/>
    <w:rsid w:val="00834EB5"/>
    <w:rsid w:val="00835541"/>
    <w:rsid w:val="00836236"/>
    <w:rsid w:val="008401BD"/>
    <w:rsid w:val="00841973"/>
    <w:rsid w:val="008424A0"/>
    <w:rsid w:val="00842D68"/>
    <w:rsid w:val="00842FCB"/>
    <w:rsid w:val="00843053"/>
    <w:rsid w:val="008433F6"/>
    <w:rsid w:val="00843BE2"/>
    <w:rsid w:val="00844DE6"/>
    <w:rsid w:val="00846E76"/>
    <w:rsid w:val="00847313"/>
    <w:rsid w:val="008477D5"/>
    <w:rsid w:val="00850D58"/>
    <w:rsid w:val="00852C09"/>
    <w:rsid w:val="00855079"/>
    <w:rsid w:val="00855328"/>
    <w:rsid w:val="00855953"/>
    <w:rsid w:val="00863207"/>
    <w:rsid w:val="008636D7"/>
    <w:rsid w:val="0086495E"/>
    <w:rsid w:val="00865608"/>
    <w:rsid w:val="008659E0"/>
    <w:rsid w:val="00867A42"/>
    <w:rsid w:val="00867B9B"/>
    <w:rsid w:val="0087027F"/>
    <w:rsid w:val="00870C73"/>
    <w:rsid w:val="00871412"/>
    <w:rsid w:val="0087146A"/>
    <w:rsid w:val="0087265D"/>
    <w:rsid w:val="008734A8"/>
    <w:rsid w:val="00874486"/>
    <w:rsid w:val="00874848"/>
    <w:rsid w:val="00876B7F"/>
    <w:rsid w:val="00882899"/>
    <w:rsid w:val="00882DEA"/>
    <w:rsid w:val="008839CA"/>
    <w:rsid w:val="00883E01"/>
    <w:rsid w:val="00883FA1"/>
    <w:rsid w:val="00884B2D"/>
    <w:rsid w:val="00884BC7"/>
    <w:rsid w:val="00884CDE"/>
    <w:rsid w:val="008855EA"/>
    <w:rsid w:val="008865C9"/>
    <w:rsid w:val="00890726"/>
    <w:rsid w:val="00890E60"/>
    <w:rsid w:val="008917B8"/>
    <w:rsid w:val="00891DDA"/>
    <w:rsid w:val="008922BC"/>
    <w:rsid w:val="0089249A"/>
    <w:rsid w:val="00892516"/>
    <w:rsid w:val="00893754"/>
    <w:rsid w:val="00893CE8"/>
    <w:rsid w:val="008949BA"/>
    <w:rsid w:val="00894D9A"/>
    <w:rsid w:val="00895B75"/>
    <w:rsid w:val="008971D9"/>
    <w:rsid w:val="00897820"/>
    <w:rsid w:val="008A01E7"/>
    <w:rsid w:val="008A0A30"/>
    <w:rsid w:val="008A0C96"/>
    <w:rsid w:val="008A2B44"/>
    <w:rsid w:val="008A3CF6"/>
    <w:rsid w:val="008A4F56"/>
    <w:rsid w:val="008A53F9"/>
    <w:rsid w:val="008B0525"/>
    <w:rsid w:val="008B25F8"/>
    <w:rsid w:val="008B2B95"/>
    <w:rsid w:val="008B2E1D"/>
    <w:rsid w:val="008B4CEC"/>
    <w:rsid w:val="008B4D03"/>
    <w:rsid w:val="008B5223"/>
    <w:rsid w:val="008B6728"/>
    <w:rsid w:val="008B6786"/>
    <w:rsid w:val="008C0B80"/>
    <w:rsid w:val="008C1503"/>
    <w:rsid w:val="008C1875"/>
    <w:rsid w:val="008C1D2D"/>
    <w:rsid w:val="008C1D40"/>
    <w:rsid w:val="008C31D3"/>
    <w:rsid w:val="008C3CD9"/>
    <w:rsid w:val="008C4AE3"/>
    <w:rsid w:val="008C5CB4"/>
    <w:rsid w:val="008C60C2"/>
    <w:rsid w:val="008D252C"/>
    <w:rsid w:val="008D38AB"/>
    <w:rsid w:val="008D5BA2"/>
    <w:rsid w:val="008D64B4"/>
    <w:rsid w:val="008D6B4F"/>
    <w:rsid w:val="008D7496"/>
    <w:rsid w:val="008D7D65"/>
    <w:rsid w:val="008E4534"/>
    <w:rsid w:val="008E458A"/>
    <w:rsid w:val="008E48B8"/>
    <w:rsid w:val="008E6384"/>
    <w:rsid w:val="008E6F78"/>
    <w:rsid w:val="008E7342"/>
    <w:rsid w:val="008E7DCC"/>
    <w:rsid w:val="008F1297"/>
    <w:rsid w:val="008F1332"/>
    <w:rsid w:val="008F3347"/>
    <w:rsid w:val="008F4866"/>
    <w:rsid w:val="008F5446"/>
    <w:rsid w:val="00900B92"/>
    <w:rsid w:val="00901D13"/>
    <w:rsid w:val="00903AC2"/>
    <w:rsid w:val="0090440E"/>
    <w:rsid w:val="00904543"/>
    <w:rsid w:val="0090538F"/>
    <w:rsid w:val="009072F9"/>
    <w:rsid w:val="00907EA0"/>
    <w:rsid w:val="00910183"/>
    <w:rsid w:val="00911611"/>
    <w:rsid w:val="00911A7C"/>
    <w:rsid w:val="00911B97"/>
    <w:rsid w:val="00911F22"/>
    <w:rsid w:val="0091584C"/>
    <w:rsid w:val="0091658E"/>
    <w:rsid w:val="00917289"/>
    <w:rsid w:val="009174F2"/>
    <w:rsid w:val="00917ED7"/>
    <w:rsid w:val="00920143"/>
    <w:rsid w:val="00920705"/>
    <w:rsid w:val="009207A4"/>
    <w:rsid w:val="00920B13"/>
    <w:rsid w:val="0092247B"/>
    <w:rsid w:val="00923412"/>
    <w:rsid w:val="00923B99"/>
    <w:rsid w:val="0092424F"/>
    <w:rsid w:val="009254F6"/>
    <w:rsid w:val="00926588"/>
    <w:rsid w:val="00927265"/>
    <w:rsid w:val="009315ED"/>
    <w:rsid w:val="00931AE4"/>
    <w:rsid w:val="0093278F"/>
    <w:rsid w:val="00933562"/>
    <w:rsid w:val="0093468A"/>
    <w:rsid w:val="009357D0"/>
    <w:rsid w:val="0093583A"/>
    <w:rsid w:val="00935D6A"/>
    <w:rsid w:val="00936988"/>
    <w:rsid w:val="009369DA"/>
    <w:rsid w:val="00936BEF"/>
    <w:rsid w:val="009376C2"/>
    <w:rsid w:val="00937B1B"/>
    <w:rsid w:val="00940375"/>
    <w:rsid w:val="00940B22"/>
    <w:rsid w:val="0094278A"/>
    <w:rsid w:val="009445B4"/>
    <w:rsid w:val="00944D00"/>
    <w:rsid w:val="009450C0"/>
    <w:rsid w:val="0094565C"/>
    <w:rsid w:val="009470C8"/>
    <w:rsid w:val="009500D6"/>
    <w:rsid w:val="00950A9A"/>
    <w:rsid w:val="00951335"/>
    <w:rsid w:val="00951D4F"/>
    <w:rsid w:val="00953692"/>
    <w:rsid w:val="00953839"/>
    <w:rsid w:val="009538AC"/>
    <w:rsid w:val="00954658"/>
    <w:rsid w:val="00954873"/>
    <w:rsid w:val="009549D6"/>
    <w:rsid w:val="00954B13"/>
    <w:rsid w:val="0095557C"/>
    <w:rsid w:val="00955A93"/>
    <w:rsid w:val="009564CA"/>
    <w:rsid w:val="00957B65"/>
    <w:rsid w:val="00961CF9"/>
    <w:rsid w:val="00962330"/>
    <w:rsid w:val="00962791"/>
    <w:rsid w:val="009628CE"/>
    <w:rsid w:val="009643FD"/>
    <w:rsid w:val="00964BC9"/>
    <w:rsid w:val="00967EA8"/>
    <w:rsid w:val="0097072C"/>
    <w:rsid w:val="00970F0E"/>
    <w:rsid w:val="00971465"/>
    <w:rsid w:val="00972107"/>
    <w:rsid w:val="009721B3"/>
    <w:rsid w:val="009733B8"/>
    <w:rsid w:val="009742C4"/>
    <w:rsid w:val="00974425"/>
    <w:rsid w:val="00974781"/>
    <w:rsid w:val="009751A3"/>
    <w:rsid w:val="0097589D"/>
    <w:rsid w:val="009773FB"/>
    <w:rsid w:val="00981999"/>
    <w:rsid w:val="00982505"/>
    <w:rsid w:val="00983204"/>
    <w:rsid w:val="00985BE5"/>
    <w:rsid w:val="0098769B"/>
    <w:rsid w:val="0099067B"/>
    <w:rsid w:val="00991D53"/>
    <w:rsid w:val="00991E7F"/>
    <w:rsid w:val="00992279"/>
    <w:rsid w:val="00993A95"/>
    <w:rsid w:val="00995714"/>
    <w:rsid w:val="009A2971"/>
    <w:rsid w:val="009A2CB9"/>
    <w:rsid w:val="009A5674"/>
    <w:rsid w:val="009A5A04"/>
    <w:rsid w:val="009A5FD8"/>
    <w:rsid w:val="009B0CFE"/>
    <w:rsid w:val="009B0E7E"/>
    <w:rsid w:val="009B1DC8"/>
    <w:rsid w:val="009B22B8"/>
    <w:rsid w:val="009B27BB"/>
    <w:rsid w:val="009B2E0D"/>
    <w:rsid w:val="009B3D36"/>
    <w:rsid w:val="009B45DE"/>
    <w:rsid w:val="009B4606"/>
    <w:rsid w:val="009B7A8B"/>
    <w:rsid w:val="009C1147"/>
    <w:rsid w:val="009C1C33"/>
    <w:rsid w:val="009C3425"/>
    <w:rsid w:val="009C49C7"/>
    <w:rsid w:val="009C504A"/>
    <w:rsid w:val="009C76E6"/>
    <w:rsid w:val="009D198C"/>
    <w:rsid w:val="009D38F2"/>
    <w:rsid w:val="009D3AE9"/>
    <w:rsid w:val="009E04D6"/>
    <w:rsid w:val="009E0D4B"/>
    <w:rsid w:val="009E1A38"/>
    <w:rsid w:val="009E333C"/>
    <w:rsid w:val="009E38E2"/>
    <w:rsid w:val="009E3B76"/>
    <w:rsid w:val="009E75DA"/>
    <w:rsid w:val="009F3548"/>
    <w:rsid w:val="009F4E75"/>
    <w:rsid w:val="009F563F"/>
    <w:rsid w:val="009F5B6D"/>
    <w:rsid w:val="009F5D5C"/>
    <w:rsid w:val="009F6CD2"/>
    <w:rsid w:val="009F7016"/>
    <w:rsid w:val="00A000D2"/>
    <w:rsid w:val="00A01752"/>
    <w:rsid w:val="00A02ABB"/>
    <w:rsid w:val="00A04EFE"/>
    <w:rsid w:val="00A06A43"/>
    <w:rsid w:val="00A07276"/>
    <w:rsid w:val="00A10681"/>
    <w:rsid w:val="00A12FEB"/>
    <w:rsid w:val="00A132BD"/>
    <w:rsid w:val="00A149DF"/>
    <w:rsid w:val="00A17A0A"/>
    <w:rsid w:val="00A17ED2"/>
    <w:rsid w:val="00A227CF"/>
    <w:rsid w:val="00A227E8"/>
    <w:rsid w:val="00A22D4B"/>
    <w:rsid w:val="00A23446"/>
    <w:rsid w:val="00A24823"/>
    <w:rsid w:val="00A24856"/>
    <w:rsid w:val="00A256F1"/>
    <w:rsid w:val="00A25AFB"/>
    <w:rsid w:val="00A26854"/>
    <w:rsid w:val="00A308FF"/>
    <w:rsid w:val="00A30B00"/>
    <w:rsid w:val="00A30F21"/>
    <w:rsid w:val="00A3245E"/>
    <w:rsid w:val="00A33E7A"/>
    <w:rsid w:val="00A36051"/>
    <w:rsid w:val="00A36172"/>
    <w:rsid w:val="00A37D3E"/>
    <w:rsid w:val="00A42483"/>
    <w:rsid w:val="00A42D4C"/>
    <w:rsid w:val="00A42D5E"/>
    <w:rsid w:val="00A434C9"/>
    <w:rsid w:val="00A437F1"/>
    <w:rsid w:val="00A439C9"/>
    <w:rsid w:val="00A44AEF"/>
    <w:rsid w:val="00A46931"/>
    <w:rsid w:val="00A47704"/>
    <w:rsid w:val="00A479C9"/>
    <w:rsid w:val="00A52719"/>
    <w:rsid w:val="00A53162"/>
    <w:rsid w:val="00A55CDF"/>
    <w:rsid w:val="00A56204"/>
    <w:rsid w:val="00A6235A"/>
    <w:rsid w:val="00A62B57"/>
    <w:rsid w:val="00A6467A"/>
    <w:rsid w:val="00A64DD4"/>
    <w:rsid w:val="00A65677"/>
    <w:rsid w:val="00A6580D"/>
    <w:rsid w:val="00A66252"/>
    <w:rsid w:val="00A6682D"/>
    <w:rsid w:val="00A67207"/>
    <w:rsid w:val="00A70266"/>
    <w:rsid w:val="00A703FB"/>
    <w:rsid w:val="00A7086B"/>
    <w:rsid w:val="00A720DE"/>
    <w:rsid w:val="00A72532"/>
    <w:rsid w:val="00A73ADA"/>
    <w:rsid w:val="00A743F5"/>
    <w:rsid w:val="00A7508E"/>
    <w:rsid w:val="00A7772D"/>
    <w:rsid w:val="00A81DDA"/>
    <w:rsid w:val="00A82FF9"/>
    <w:rsid w:val="00A83956"/>
    <w:rsid w:val="00A83C2A"/>
    <w:rsid w:val="00A84D65"/>
    <w:rsid w:val="00A85FAA"/>
    <w:rsid w:val="00A86E1A"/>
    <w:rsid w:val="00A872AD"/>
    <w:rsid w:val="00A87814"/>
    <w:rsid w:val="00A9116E"/>
    <w:rsid w:val="00A9164D"/>
    <w:rsid w:val="00A92ED4"/>
    <w:rsid w:val="00A946D0"/>
    <w:rsid w:val="00A94A61"/>
    <w:rsid w:val="00A95218"/>
    <w:rsid w:val="00A95BE9"/>
    <w:rsid w:val="00A96004"/>
    <w:rsid w:val="00A97B00"/>
    <w:rsid w:val="00A97B2D"/>
    <w:rsid w:val="00AA059E"/>
    <w:rsid w:val="00AA0D6D"/>
    <w:rsid w:val="00AA13C0"/>
    <w:rsid w:val="00AA2D28"/>
    <w:rsid w:val="00AA4796"/>
    <w:rsid w:val="00AA5D6A"/>
    <w:rsid w:val="00AA7970"/>
    <w:rsid w:val="00AA7E34"/>
    <w:rsid w:val="00AB05C2"/>
    <w:rsid w:val="00AB2D92"/>
    <w:rsid w:val="00AB35E8"/>
    <w:rsid w:val="00AB38FA"/>
    <w:rsid w:val="00AB4DA6"/>
    <w:rsid w:val="00AB5157"/>
    <w:rsid w:val="00AB6245"/>
    <w:rsid w:val="00AC0603"/>
    <w:rsid w:val="00AC1674"/>
    <w:rsid w:val="00AC1FBB"/>
    <w:rsid w:val="00AC2B66"/>
    <w:rsid w:val="00AC4CAE"/>
    <w:rsid w:val="00AC65F4"/>
    <w:rsid w:val="00AC695F"/>
    <w:rsid w:val="00AC69F8"/>
    <w:rsid w:val="00AD01A5"/>
    <w:rsid w:val="00AD0A6C"/>
    <w:rsid w:val="00AD0AFD"/>
    <w:rsid w:val="00AD0C9F"/>
    <w:rsid w:val="00AD1A78"/>
    <w:rsid w:val="00AD20DC"/>
    <w:rsid w:val="00AD4E36"/>
    <w:rsid w:val="00AD61F5"/>
    <w:rsid w:val="00AD65DD"/>
    <w:rsid w:val="00AD67B9"/>
    <w:rsid w:val="00AE4F26"/>
    <w:rsid w:val="00AE5CE4"/>
    <w:rsid w:val="00AE78C4"/>
    <w:rsid w:val="00AF0445"/>
    <w:rsid w:val="00AF1244"/>
    <w:rsid w:val="00AF35BC"/>
    <w:rsid w:val="00AF5161"/>
    <w:rsid w:val="00AF553C"/>
    <w:rsid w:val="00AF5AE3"/>
    <w:rsid w:val="00AF707A"/>
    <w:rsid w:val="00AF74A1"/>
    <w:rsid w:val="00B007FA"/>
    <w:rsid w:val="00B03943"/>
    <w:rsid w:val="00B045DB"/>
    <w:rsid w:val="00B05C36"/>
    <w:rsid w:val="00B0790D"/>
    <w:rsid w:val="00B11C11"/>
    <w:rsid w:val="00B11D45"/>
    <w:rsid w:val="00B12562"/>
    <w:rsid w:val="00B12623"/>
    <w:rsid w:val="00B12A28"/>
    <w:rsid w:val="00B13647"/>
    <w:rsid w:val="00B13AFB"/>
    <w:rsid w:val="00B141A2"/>
    <w:rsid w:val="00B147AC"/>
    <w:rsid w:val="00B17405"/>
    <w:rsid w:val="00B17D3F"/>
    <w:rsid w:val="00B17FBE"/>
    <w:rsid w:val="00B20124"/>
    <w:rsid w:val="00B20172"/>
    <w:rsid w:val="00B2164A"/>
    <w:rsid w:val="00B22623"/>
    <w:rsid w:val="00B253F5"/>
    <w:rsid w:val="00B254ED"/>
    <w:rsid w:val="00B26C3E"/>
    <w:rsid w:val="00B305F0"/>
    <w:rsid w:val="00B30D0F"/>
    <w:rsid w:val="00B30FD1"/>
    <w:rsid w:val="00B31A52"/>
    <w:rsid w:val="00B33ADB"/>
    <w:rsid w:val="00B3420F"/>
    <w:rsid w:val="00B3501C"/>
    <w:rsid w:val="00B3541F"/>
    <w:rsid w:val="00B354D4"/>
    <w:rsid w:val="00B35EEE"/>
    <w:rsid w:val="00B36AAE"/>
    <w:rsid w:val="00B36CC2"/>
    <w:rsid w:val="00B36E70"/>
    <w:rsid w:val="00B40763"/>
    <w:rsid w:val="00B42EEC"/>
    <w:rsid w:val="00B437B0"/>
    <w:rsid w:val="00B43906"/>
    <w:rsid w:val="00B43C90"/>
    <w:rsid w:val="00B43F5C"/>
    <w:rsid w:val="00B44E4B"/>
    <w:rsid w:val="00B45B23"/>
    <w:rsid w:val="00B46DB2"/>
    <w:rsid w:val="00B5018A"/>
    <w:rsid w:val="00B519F1"/>
    <w:rsid w:val="00B51A5E"/>
    <w:rsid w:val="00B52EBB"/>
    <w:rsid w:val="00B56AA8"/>
    <w:rsid w:val="00B60614"/>
    <w:rsid w:val="00B60C6C"/>
    <w:rsid w:val="00B63D12"/>
    <w:rsid w:val="00B66DD6"/>
    <w:rsid w:val="00B6720F"/>
    <w:rsid w:val="00B70728"/>
    <w:rsid w:val="00B725B8"/>
    <w:rsid w:val="00B725FF"/>
    <w:rsid w:val="00B72C9A"/>
    <w:rsid w:val="00B74118"/>
    <w:rsid w:val="00B75385"/>
    <w:rsid w:val="00B75B95"/>
    <w:rsid w:val="00B84053"/>
    <w:rsid w:val="00B84914"/>
    <w:rsid w:val="00B8563F"/>
    <w:rsid w:val="00B864F5"/>
    <w:rsid w:val="00B86FF9"/>
    <w:rsid w:val="00B873D7"/>
    <w:rsid w:val="00B87CFF"/>
    <w:rsid w:val="00B9004D"/>
    <w:rsid w:val="00B902ED"/>
    <w:rsid w:val="00B91694"/>
    <w:rsid w:val="00B92E62"/>
    <w:rsid w:val="00B94439"/>
    <w:rsid w:val="00B948FF"/>
    <w:rsid w:val="00B9509E"/>
    <w:rsid w:val="00B96858"/>
    <w:rsid w:val="00BA0B4D"/>
    <w:rsid w:val="00BA0F69"/>
    <w:rsid w:val="00BA1E38"/>
    <w:rsid w:val="00BA23E0"/>
    <w:rsid w:val="00BA369B"/>
    <w:rsid w:val="00BA5AC5"/>
    <w:rsid w:val="00BB0D0B"/>
    <w:rsid w:val="00BB1BBA"/>
    <w:rsid w:val="00BB29A8"/>
    <w:rsid w:val="00BB327E"/>
    <w:rsid w:val="00BB3FED"/>
    <w:rsid w:val="00BB5458"/>
    <w:rsid w:val="00BB5F93"/>
    <w:rsid w:val="00BC041F"/>
    <w:rsid w:val="00BC0F80"/>
    <w:rsid w:val="00BC1001"/>
    <w:rsid w:val="00BC1074"/>
    <w:rsid w:val="00BC10B3"/>
    <w:rsid w:val="00BC2424"/>
    <w:rsid w:val="00BC2594"/>
    <w:rsid w:val="00BC27F8"/>
    <w:rsid w:val="00BC371D"/>
    <w:rsid w:val="00BC3DC9"/>
    <w:rsid w:val="00BC4E08"/>
    <w:rsid w:val="00BC5791"/>
    <w:rsid w:val="00BC59B4"/>
    <w:rsid w:val="00BC5BF7"/>
    <w:rsid w:val="00BD019F"/>
    <w:rsid w:val="00BD07AD"/>
    <w:rsid w:val="00BD2B36"/>
    <w:rsid w:val="00BD2F02"/>
    <w:rsid w:val="00BD347C"/>
    <w:rsid w:val="00BD4E6C"/>
    <w:rsid w:val="00BD6723"/>
    <w:rsid w:val="00BD6DDC"/>
    <w:rsid w:val="00BD768B"/>
    <w:rsid w:val="00BE152B"/>
    <w:rsid w:val="00BE1CB0"/>
    <w:rsid w:val="00BE2A5A"/>
    <w:rsid w:val="00BE3251"/>
    <w:rsid w:val="00BE6392"/>
    <w:rsid w:val="00BE6B55"/>
    <w:rsid w:val="00BF511B"/>
    <w:rsid w:val="00BF5AE3"/>
    <w:rsid w:val="00BF605B"/>
    <w:rsid w:val="00BF6761"/>
    <w:rsid w:val="00C00862"/>
    <w:rsid w:val="00C013D1"/>
    <w:rsid w:val="00C0186B"/>
    <w:rsid w:val="00C0258D"/>
    <w:rsid w:val="00C029C3"/>
    <w:rsid w:val="00C03786"/>
    <w:rsid w:val="00C04097"/>
    <w:rsid w:val="00C045F0"/>
    <w:rsid w:val="00C046B5"/>
    <w:rsid w:val="00C04DB1"/>
    <w:rsid w:val="00C0589D"/>
    <w:rsid w:val="00C05E21"/>
    <w:rsid w:val="00C06301"/>
    <w:rsid w:val="00C07B82"/>
    <w:rsid w:val="00C07FA4"/>
    <w:rsid w:val="00C10550"/>
    <w:rsid w:val="00C1086F"/>
    <w:rsid w:val="00C12074"/>
    <w:rsid w:val="00C127AB"/>
    <w:rsid w:val="00C13F53"/>
    <w:rsid w:val="00C158A7"/>
    <w:rsid w:val="00C17F3C"/>
    <w:rsid w:val="00C2159D"/>
    <w:rsid w:val="00C21947"/>
    <w:rsid w:val="00C21DDB"/>
    <w:rsid w:val="00C2211C"/>
    <w:rsid w:val="00C22F74"/>
    <w:rsid w:val="00C238CE"/>
    <w:rsid w:val="00C23D57"/>
    <w:rsid w:val="00C24BCD"/>
    <w:rsid w:val="00C255FF"/>
    <w:rsid w:val="00C25895"/>
    <w:rsid w:val="00C26875"/>
    <w:rsid w:val="00C27477"/>
    <w:rsid w:val="00C3092A"/>
    <w:rsid w:val="00C30E19"/>
    <w:rsid w:val="00C3102B"/>
    <w:rsid w:val="00C31747"/>
    <w:rsid w:val="00C3186F"/>
    <w:rsid w:val="00C31A43"/>
    <w:rsid w:val="00C32568"/>
    <w:rsid w:val="00C3348A"/>
    <w:rsid w:val="00C3417A"/>
    <w:rsid w:val="00C34D55"/>
    <w:rsid w:val="00C36148"/>
    <w:rsid w:val="00C363C7"/>
    <w:rsid w:val="00C42845"/>
    <w:rsid w:val="00C43F48"/>
    <w:rsid w:val="00C45683"/>
    <w:rsid w:val="00C45F99"/>
    <w:rsid w:val="00C46421"/>
    <w:rsid w:val="00C474F1"/>
    <w:rsid w:val="00C47680"/>
    <w:rsid w:val="00C47936"/>
    <w:rsid w:val="00C52485"/>
    <w:rsid w:val="00C55521"/>
    <w:rsid w:val="00C55C71"/>
    <w:rsid w:val="00C55E80"/>
    <w:rsid w:val="00C5799C"/>
    <w:rsid w:val="00C57C39"/>
    <w:rsid w:val="00C6126B"/>
    <w:rsid w:val="00C61B93"/>
    <w:rsid w:val="00C62885"/>
    <w:rsid w:val="00C62DCE"/>
    <w:rsid w:val="00C63FBC"/>
    <w:rsid w:val="00C65802"/>
    <w:rsid w:val="00C66692"/>
    <w:rsid w:val="00C71FC6"/>
    <w:rsid w:val="00C74F73"/>
    <w:rsid w:val="00C75377"/>
    <w:rsid w:val="00C7738E"/>
    <w:rsid w:val="00C77765"/>
    <w:rsid w:val="00C806F2"/>
    <w:rsid w:val="00C8192E"/>
    <w:rsid w:val="00C81939"/>
    <w:rsid w:val="00C82650"/>
    <w:rsid w:val="00C84426"/>
    <w:rsid w:val="00C84A62"/>
    <w:rsid w:val="00C84C77"/>
    <w:rsid w:val="00C851FE"/>
    <w:rsid w:val="00C85528"/>
    <w:rsid w:val="00C86E5F"/>
    <w:rsid w:val="00C8741A"/>
    <w:rsid w:val="00C90513"/>
    <w:rsid w:val="00C92954"/>
    <w:rsid w:val="00C933ED"/>
    <w:rsid w:val="00C93AAA"/>
    <w:rsid w:val="00C93F6A"/>
    <w:rsid w:val="00C95B8F"/>
    <w:rsid w:val="00C95CC5"/>
    <w:rsid w:val="00CA131B"/>
    <w:rsid w:val="00CA1DDA"/>
    <w:rsid w:val="00CA2D4E"/>
    <w:rsid w:val="00CA319B"/>
    <w:rsid w:val="00CA32E4"/>
    <w:rsid w:val="00CA349F"/>
    <w:rsid w:val="00CA3FFB"/>
    <w:rsid w:val="00CA408A"/>
    <w:rsid w:val="00CA4A51"/>
    <w:rsid w:val="00CA5F14"/>
    <w:rsid w:val="00CA60F6"/>
    <w:rsid w:val="00CA6319"/>
    <w:rsid w:val="00CA6BE5"/>
    <w:rsid w:val="00CA735D"/>
    <w:rsid w:val="00CA7DB4"/>
    <w:rsid w:val="00CB0E2E"/>
    <w:rsid w:val="00CB235C"/>
    <w:rsid w:val="00CB237E"/>
    <w:rsid w:val="00CB23E8"/>
    <w:rsid w:val="00CB330B"/>
    <w:rsid w:val="00CB3D8D"/>
    <w:rsid w:val="00CB3F1B"/>
    <w:rsid w:val="00CB4965"/>
    <w:rsid w:val="00CB52E8"/>
    <w:rsid w:val="00CB6372"/>
    <w:rsid w:val="00CB7352"/>
    <w:rsid w:val="00CC1032"/>
    <w:rsid w:val="00CC1128"/>
    <w:rsid w:val="00CC3C77"/>
    <w:rsid w:val="00CC4A3C"/>
    <w:rsid w:val="00CC5E15"/>
    <w:rsid w:val="00CC6726"/>
    <w:rsid w:val="00CC6E3B"/>
    <w:rsid w:val="00CC70C1"/>
    <w:rsid w:val="00CD0E0B"/>
    <w:rsid w:val="00CD0F1B"/>
    <w:rsid w:val="00CD1A13"/>
    <w:rsid w:val="00CD2C04"/>
    <w:rsid w:val="00CD3A6D"/>
    <w:rsid w:val="00CD430B"/>
    <w:rsid w:val="00CD56AB"/>
    <w:rsid w:val="00CD718C"/>
    <w:rsid w:val="00CD73ED"/>
    <w:rsid w:val="00CE063D"/>
    <w:rsid w:val="00CE23E2"/>
    <w:rsid w:val="00CE2C4A"/>
    <w:rsid w:val="00CE3057"/>
    <w:rsid w:val="00CE3990"/>
    <w:rsid w:val="00CE58A9"/>
    <w:rsid w:val="00CE5973"/>
    <w:rsid w:val="00CE5D49"/>
    <w:rsid w:val="00CE63EC"/>
    <w:rsid w:val="00CE6BF6"/>
    <w:rsid w:val="00CE6F3B"/>
    <w:rsid w:val="00CE7552"/>
    <w:rsid w:val="00CF0458"/>
    <w:rsid w:val="00CF2AA7"/>
    <w:rsid w:val="00CF61CF"/>
    <w:rsid w:val="00CF66D1"/>
    <w:rsid w:val="00CF6C0F"/>
    <w:rsid w:val="00CF6D92"/>
    <w:rsid w:val="00CF7027"/>
    <w:rsid w:val="00D023C0"/>
    <w:rsid w:val="00D02535"/>
    <w:rsid w:val="00D02B4C"/>
    <w:rsid w:val="00D02C9C"/>
    <w:rsid w:val="00D033BD"/>
    <w:rsid w:val="00D0349D"/>
    <w:rsid w:val="00D03666"/>
    <w:rsid w:val="00D04ABF"/>
    <w:rsid w:val="00D06016"/>
    <w:rsid w:val="00D07786"/>
    <w:rsid w:val="00D07B56"/>
    <w:rsid w:val="00D10064"/>
    <w:rsid w:val="00D100B5"/>
    <w:rsid w:val="00D105C2"/>
    <w:rsid w:val="00D111EA"/>
    <w:rsid w:val="00D11AD6"/>
    <w:rsid w:val="00D12E5F"/>
    <w:rsid w:val="00D12F02"/>
    <w:rsid w:val="00D140A0"/>
    <w:rsid w:val="00D145BF"/>
    <w:rsid w:val="00D14CB6"/>
    <w:rsid w:val="00D161BD"/>
    <w:rsid w:val="00D20262"/>
    <w:rsid w:val="00D23655"/>
    <w:rsid w:val="00D23C4A"/>
    <w:rsid w:val="00D2631A"/>
    <w:rsid w:val="00D27CB5"/>
    <w:rsid w:val="00D30280"/>
    <w:rsid w:val="00D30EC6"/>
    <w:rsid w:val="00D31596"/>
    <w:rsid w:val="00D316B5"/>
    <w:rsid w:val="00D3237B"/>
    <w:rsid w:val="00D32CF3"/>
    <w:rsid w:val="00D340D0"/>
    <w:rsid w:val="00D34220"/>
    <w:rsid w:val="00D3440C"/>
    <w:rsid w:val="00D356D9"/>
    <w:rsid w:val="00D36481"/>
    <w:rsid w:val="00D36CE8"/>
    <w:rsid w:val="00D372D0"/>
    <w:rsid w:val="00D417A7"/>
    <w:rsid w:val="00D42609"/>
    <w:rsid w:val="00D431BA"/>
    <w:rsid w:val="00D43AFA"/>
    <w:rsid w:val="00D440BF"/>
    <w:rsid w:val="00D44C6A"/>
    <w:rsid w:val="00D44F81"/>
    <w:rsid w:val="00D453A2"/>
    <w:rsid w:val="00D45B00"/>
    <w:rsid w:val="00D47636"/>
    <w:rsid w:val="00D47F3D"/>
    <w:rsid w:val="00D50B53"/>
    <w:rsid w:val="00D53C81"/>
    <w:rsid w:val="00D55C38"/>
    <w:rsid w:val="00D60140"/>
    <w:rsid w:val="00D60432"/>
    <w:rsid w:val="00D60669"/>
    <w:rsid w:val="00D607CD"/>
    <w:rsid w:val="00D620A2"/>
    <w:rsid w:val="00D6232F"/>
    <w:rsid w:val="00D62776"/>
    <w:rsid w:val="00D63490"/>
    <w:rsid w:val="00D64A79"/>
    <w:rsid w:val="00D64FE7"/>
    <w:rsid w:val="00D6535C"/>
    <w:rsid w:val="00D65A30"/>
    <w:rsid w:val="00D668B5"/>
    <w:rsid w:val="00D70CC0"/>
    <w:rsid w:val="00D7456D"/>
    <w:rsid w:val="00D75479"/>
    <w:rsid w:val="00D76A5C"/>
    <w:rsid w:val="00D76DA4"/>
    <w:rsid w:val="00D77372"/>
    <w:rsid w:val="00D77388"/>
    <w:rsid w:val="00D8180B"/>
    <w:rsid w:val="00D8207E"/>
    <w:rsid w:val="00D859B0"/>
    <w:rsid w:val="00D86627"/>
    <w:rsid w:val="00D87550"/>
    <w:rsid w:val="00D87B07"/>
    <w:rsid w:val="00D90DC6"/>
    <w:rsid w:val="00D93910"/>
    <w:rsid w:val="00D93B71"/>
    <w:rsid w:val="00DA0571"/>
    <w:rsid w:val="00DA1145"/>
    <w:rsid w:val="00DA1727"/>
    <w:rsid w:val="00DA26E3"/>
    <w:rsid w:val="00DA353C"/>
    <w:rsid w:val="00DA43DA"/>
    <w:rsid w:val="00DA477C"/>
    <w:rsid w:val="00DB0FFD"/>
    <w:rsid w:val="00DB1D4A"/>
    <w:rsid w:val="00DB2C27"/>
    <w:rsid w:val="00DB4589"/>
    <w:rsid w:val="00DB7CD4"/>
    <w:rsid w:val="00DC01BC"/>
    <w:rsid w:val="00DC081D"/>
    <w:rsid w:val="00DC1660"/>
    <w:rsid w:val="00DC1FD7"/>
    <w:rsid w:val="00DC25F9"/>
    <w:rsid w:val="00DC26E5"/>
    <w:rsid w:val="00DC2A13"/>
    <w:rsid w:val="00DC2D26"/>
    <w:rsid w:val="00DC2FAA"/>
    <w:rsid w:val="00DC4CD4"/>
    <w:rsid w:val="00DC5F90"/>
    <w:rsid w:val="00DC74B7"/>
    <w:rsid w:val="00DD15AE"/>
    <w:rsid w:val="00DD2790"/>
    <w:rsid w:val="00DD293C"/>
    <w:rsid w:val="00DD2E32"/>
    <w:rsid w:val="00DD3B33"/>
    <w:rsid w:val="00DD45D0"/>
    <w:rsid w:val="00DD4A11"/>
    <w:rsid w:val="00DD61EF"/>
    <w:rsid w:val="00DD66E2"/>
    <w:rsid w:val="00DD6875"/>
    <w:rsid w:val="00DD6A16"/>
    <w:rsid w:val="00DD6B32"/>
    <w:rsid w:val="00DD7952"/>
    <w:rsid w:val="00DE0744"/>
    <w:rsid w:val="00DE1597"/>
    <w:rsid w:val="00DE2D7D"/>
    <w:rsid w:val="00DE476C"/>
    <w:rsid w:val="00DE4B9C"/>
    <w:rsid w:val="00DE52E9"/>
    <w:rsid w:val="00DE5332"/>
    <w:rsid w:val="00DE63FC"/>
    <w:rsid w:val="00DE6C93"/>
    <w:rsid w:val="00DE7AFE"/>
    <w:rsid w:val="00DF053A"/>
    <w:rsid w:val="00DF0FC7"/>
    <w:rsid w:val="00DF1942"/>
    <w:rsid w:val="00DF3628"/>
    <w:rsid w:val="00DF49EB"/>
    <w:rsid w:val="00DF611F"/>
    <w:rsid w:val="00DF6C6A"/>
    <w:rsid w:val="00DF6D5D"/>
    <w:rsid w:val="00DF7C15"/>
    <w:rsid w:val="00E0016B"/>
    <w:rsid w:val="00E02B22"/>
    <w:rsid w:val="00E04602"/>
    <w:rsid w:val="00E0472B"/>
    <w:rsid w:val="00E04FB5"/>
    <w:rsid w:val="00E05540"/>
    <w:rsid w:val="00E055EC"/>
    <w:rsid w:val="00E06431"/>
    <w:rsid w:val="00E0737C"/>
    <w:rsid w:val="00E11097"/>
    <w:rsid w:val="00E11A51"/>
    <w:rsid w:val="00E12C75"/>
    <w:rsid w:val="00E132C1"/>
    <w:rsid w:val="00E134ED"/>
    <w:rsid w:val="00E14187"/>
    <w:rsid w:val="00E14AE0"/>
    <w:rsid w:val="00E16893"/>
    <w:rsid w:val="00E16993"/>
    <w:rsid w:val="00E16B16"/>
    <w:rsid w:val="00E17281"/>
    <w:rsid w:val="00E17948"/>
    <w:rsid w:val="00E17E20"/>
    <w:rsid w:val="00E201AE"/>
    <w:rsid w:val="00E20C77"/>
    <w:rsid w:val="00E20F9E"/>
    <w:rsid w:val="00E21708"/>
    <w:rsid w:val="00E21BD1"/>
    <w:rsid w:val="00E21E1A"/>
    <w:rsid w:val="00E22359"/>
    <w:rsid w:val="00E22E8C"/>
    <w:rsid w:val="00E2365A"/>
    <w:rsid w:val="00E24813"/>
    <w:rsid w:val="00E24E82"/>
    <w:rsid w:val="00E24F72"/>
    <w:rsid w:val="00E2537A"/>
    <w:rsid w:val="00E26128"/>
    <w:rsid w:val="00E26A87"/>
    <w:rsid w:val="00E26CF5"/>
    <w:rsid w:val="00E27ADD"/>
    <w:rsid w:val="00E30509"/>
    <w:rsid w:val="00E32CE9"/>
    <w:rsid w:val="00E360E3"/>
    <w:rsid w:val="00E3651C"/>
    <w:rsid w:val="00E36E0F"/>
    <w:rsid w:val="00E414CD"/>
    <w:rsid w:val="00E41737"/>
    <w:rsid w:val="00E41D1E"/>
    <w:rsid w:val="00E42E0C"/>
    <w:rsid w:val="00E439B1"/>
    <w:rsid w:val="00E44EFC"/>
    <w:rsid w:val="00E451C9"/>
    <w:rsid w:val="00E475DC"/>
    <w:rsid w:val="00E50CEA"/>
    <w:rsid w:val="00E516F1"/>
    <w:rsid w:val="00E51AC6"/>
    <w:rsid w:val="00E5358D"/>
    <w:rsid w:val="00E55715"/>
    <w:rsid w:val="00E56509"/>
    <w:rsid w:val="00E56C95"/>
    <w:rsid w:val="00E57B14"/>
    <w:rsid w:val="00E61221"/>
    <w:rsid w:val="00E622FC"/>
    <w:rsid w:val="00E6334C"/>
    <w:rsid w:val="00E661CE"/>
    <w:rsid w:val="00E66A89"/>
    <w:rsid w:val="00E67F2B"/>
    <w:rsid w:val="00E72D7F"/>
    <w:rsid w:val="00E73165"/>
    <w:rsid w:val="00E73388"/>
    <w:rsid w:val="00E73A14"/>
    <w:rsid w:val="00E747E7"/>
    <w:rsid w:val="00E74AF6"/>
    <w:rsid w:val="00E75C0A"/>
    <w:rsid w:val="00E772EB"/>
    <w:rsid w:val="00E77BE7"/>
    <w:rsid w:val="00E81891"/>
    <w:rsid w:val="00E82BFF"/>
    <w:rsid w:val="00E83875"/>
    <w:rsid w:val="00E83D28"/>
    <w:rsid w:val="00E84E0A"/>
    <w:rsid w:val="00E904AA"/>
    <w:rsid w:val="00E91C3F"/>
    <w:rsid w:val="00E93BE6"/>
    <w:rsid w:val="00E94419"/>
    <w:rsid w:val="00E94F3F"/>
    <w:rsid w:val="00E94FF7"/>
    <w:rsid w:val="00E95384"/>
    <w:rsid w:val="00E95DF6"/>
    <w:rsid w:val="00E96080"/>
    <w:rsid w:val="00E96DBE"/>
    <w:rsid w:val="00E96FC5"/>
    <w:rsid w:val="00EA193E"/>
    <w:rsid w:val="00EA2140"/>
    <w:rsid w:val="00EA2DD0"/>
    <w:rsid w:val="00EA35A1"/>
    <w:rsid w:val="00EA3A81"/>
    <w:rsid w:val="00EA3D7D"/>
    <w:rsid w:val="00EA5619"/>
    <w:rsid w:val="00EA586D"/>
    <w:rsid w:val="00EA6ABA"/>
    <w:rsid w:val="00EA76D3"/>
    <w:rsid w:val="00EA7B7C"/>
    <w:rsid w:val="00EB0372"/>
    <w:rsid w:val="00EB115C"/>
    <w:rsid w:val="00EB135B"/>
    <w:rsid w:val="00EB1977"/>
    <w:rsid w:val="00EB2171"/>
    <w:rsid w:val="00EB2BDB"/>
    <w:rsid w:val="00EB31CB"/>
    <w:rsid w:val="00EB3581"/>
    <w:rsid w:val="00EB3597"/>
    <w:rsid w:val="00EB44FA"/>
    <w:rsid w:val="00EB5379"/>
    <w:rsid w:val="00EB5882"/>
    <w:rsid w:val="00EB58F8"/>
    <w:rsid w:val="00EB78BB"/>
    <w:rsid w:val="00EB7EE3"/>
    <w:rsid w:val="00EC02B4"/>
    <w:rsid w:val="00EC06CB"/>
    <w:rsid w:val="00EC36A1"/>
    <w:rsid w:val="00EC36A9"/>
    <w:rsid w:val="00EC533F"/>
    <w:rsid w:val="00EC539B"/>
    <w:rsid w:val="00EC57F1"/>
    <w:rsid w:val="00EC622D"/>
    <w:rsid w:val="00ED310C"/>
    <w:rsid w:val="00ED49B2"/>
    <w:rsid w:val="00ED5E5B"/>
    <w:rsid w:val="00ED5E7B"/>
    <w:rsid w:val="00ED66A5"/>
    <w:rsid w:val="00EE0589"/>
    <w:rsid w:val="00EE2524"/>
    <w:rsid w:val="00EE3A2E"/>
    <w:rsid w:val="00EE5A6F"/>
    <w:rsid w:val="00EE6931"/>
    <w:rsid w:val="00EE6A49"/>
    <w:rsid w:val="00EF0DB5"/>
    <w:rsid w:val="00EF1072"/>
    <w:rsid w:val="00EF4C31"/>
    <w:rsid w:val="00EF4D7F"/>
    <w:rsid w:val="00EF62E6"/>
    <w:rsid w:val="00F007F5"/>
    <w:rsid w:val="00F00978"/>
    <w:rsid w:val="00F020CC"/>
    <w:rsid w:val="00F0437A"/>
    <w:rsid w:val="00F064E6"/>
    <w:rsid w:val="00F077FE"/>
    <w:rsid w:val="00F07F83"/>
    <w:rsid w:val="00F12487"/>
    <w:rsid w:val="00F15669"/>
    <w:rsid w:val="00F16EE8"/>
    <w:rsid w:val="00F16FD5"/>
    <w:rsid w:val="00F21C63"/>
    <w:rsid w:val="00F22949"/>
    <w:rsid w:val="00F251C7"/>
    <w:rsid w:val="00F26DCA"/>
    <w:rsid w:val="00F2725E"/>
    <w:rsid w:val="00F27B2E"/>
    <w:rsid w:val="00F30A1B"/>
    <w:rsid w:val="00F30B51"/>
    <w:rsid w:val="00F32B16"/>
    <w:rsid w:val="00F338AA"/>
    <w:rsid w:val="00F35385"/>
    <w:rsid w:val="00F3622E"/>
    <w:rsid w:val="00F36E0A"/>
    <w:rsid w:val="00F36FC5"/>
    <w:rsid w:val="00F37480"/>
    <w:rsid w:val="00F40F09"/>
    <w:rsid w:val="00F42BEC"/>
    <w:rsid w:val="00F43765"/>
    <w:rsid w:val="00F4434D"/>
    <w:rsid w:val="00F44583"/>
    <w:rsid w:val="00F4464D"/>
    <w:rsid w:val="00F44699"/>
    <w:rsid w:val="00F45100"/>
    <w:rsid w:val="00F5024D"/>
    <w:rsid w:val="00F5161E"/>
    <w:rsid w:val="00F542A3"/>
    <w:rsid w:val="00F54330"/>
    <w:rsid w:val="00F54481"/>
    <w:rsid w:val="00F56F64"/>
    <w:rsid w:val="00F61776"/>
    <w:rsid w:val="00F61AF7"/>
    <w:rsid w:val="00F62253"/>
    <w:rsid w:val="00F63442"/>
    <w:rsid w:val="00F65223"/>
    <w:rsid w:val="00F652B6"/>
    <w:rsid w:val="00F67B40"/>
    <w:rsid w:val="00F67D60"/>
    <w:rsid w:val="00F71F4A"/>
    <w:rsid w:val="00F72C5D"/>
    <w:rsid w:val="00F73709"/>
    <w:rsid w:val="00F73B1B"/>
    <w:rsid w:val="00F73E67"/>
    <w:rsid w:val="00F745D7"/>
    <w:rsid w:val="00F74BE0"/>
    <w:rsid w:val="00F7564F"/>
    <w:rsid w:val="00F76C8F"/>
    <w:rsid w:val="00F770A1"/>
    <w:rsid w:val="00F808C4"/>
    <w:rsid w:val="00F80C81"/>
    <w:rsid w:val="00F82619"/>
    <w:rsid w:val="00F829B5"/>
    <w:rsid w:val="00F82C04"/>
    <w:rsid w:val="00F8314C"/>
    <w:rsid w:val="00F83A86"/>
    <w:rsid w:val="00F842E3"/>
    <w:rsid w:val="00F85542"/>
    <w:rsid w:val="00F9070D"/>
    <w:rsid w:val="00F91EFC"/>
    <w:rsid w:val="00F92C1B"/>
    <w:rsid w:val="00F92CFB"/>
    <w:rsid w:val="00F94D20"/>
    <w:rsid w:val="00F96AD0"/>
    <w:rsid w:val="00F96EA6"/>
    <w:rsid w:val="00FA005F"/>
    <w:rsid w:val="00FA2078"/>
    <w:rsid w:val="00FA25F4"/>
    <w:rsid w:val="00FA7D14"/>
    <w:rsid w:val="00FB38D1"/>
    <w:rsid w:val="00FB3E65"/>
    <w:rsid w:val="00FB3FB6"/>
    <w:rsid w:val="00FB4CBD"/>
    <w:rsid w:val="00FB503E"/>
    <w:rsid w:val="00FC0286"/>
    <w:rsid w:val="00FC1000"/>
    <w:rsid w:val="00FC28B5"/>
    <w:rsid w:val="00FC4D18"/>
    <w:rsid w:val="00FC640F"/>
    <w:rsid w:val="00FD0106"/>
    <w:rsid w:val="00FD26C3"/>
    <w:rsid w:val="00FD30B4"/>
    <w:rsid w:val="00FD3C64"/>
    <w:rsid w:val="00FD4330"/>
    <w:rsid w:val="00FD43D6"/>
    <w:rsid w:val="00FD522F"/>
    <w:rsid w:val="00FD53FD"/>
    <w:rsid w:val="00FD662C"/>
    <w:rsid w:val="00FE0ECC"/>
    <w:rsid w:val="00FE3B65"/>
    <w:rsid w:val="00FE4416"/>
    <w:rsid w:val="00FE4A05"/>
    <w:rsid w:val="00FE4F44"/>
    <w:rsid w:val="00FE5237"/>
    <w:rsid w:val="00FE5895"/>
    <w:rsid w:val="00FE5A9F"/>
    <w:rsid w:val="00FF0550"/>
    <w:rsid w:val="00FF0A06"/>
    <w:rsid w:val="00FF0AD3"/>
    <w:rsid w:val="00FF279A"/>
    <w:rsid w:val="00FF2DC4"/>
    <w:rsid w:val="00FF2DE2"/>
    <w:rsid w:val="00FF300C"/>
    <w:rsid w:val="00FF4241"/>
    <w:rsid w:val="00FF47BF"/>
    <w:rsid w:val="00FF53F5"/>
    <w:rsid w:val="00FF6BE6"/>
    <w:rsid w:val="00FF6E73"/>
    <w:rsid w:val="00FF7004"/>
    <w:rsid w:val="00FF7E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8D61D2-4C67-45BF-ACD9-9D4BFD8D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D42D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5D42D2"/>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5D42D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5D42D2"/>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5D42D2"/>
    <w:rPr>
      <w:rFonts w:ascii="Arial" w:eastAsia="Times New Roman" w:hAnsi="Arial" w:cs="Arial"/>
      <w:b/>
      <w:bCs/>
      <w:sz w:val="26"/>
      <w:szCs w:val="26"/>
      <w:lang w:eastAsia="cs-CZ"/>
    </w:rPr>
  </w:style>
  <w:style w:type="paragraph" w:styleId="Seznam2">
    <w:name w:val="List 2"/>
    <w:basedOn w:val="Normln"/>
    <w:link w:val="Seznam2Char"/>
    <w:rsid w:val="005D42D2"/>
    <w:pPr>
      <w:ind w:left="566" w:hanging="283"/>
    </w:pPr>
  </w:style>
  <w:style w:type="paragraph" w:styleId="Zkladntextodsazen">
    <w:name w:val="Body Text Indent"/>
    <w:basedOn w:val="Normln"/>
    <w:link w:val="ZkladntextodsazenChar"/>
    <w:rsid w:val="005D42D2"/>
    <w:pPr>
      <w:spacing w:after="120"/>
      <w:ind w:left="283"/>
    </w:pPr>
  </w:style>
  <w:style w:type="character" w:customStyle="1" w:styleId="ZkladntextodsazenChar">
    <w:name w:val="Základní text odsazený Char"/>
    <w:basedOn w:val="Standardnpsmoodstavce"/>
    <w:link w:val="Zkladntextodsazen"/>
    <w:rsid w:val="005D42D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semiHidden/>
    <w:rsid w:val="005D42D2"/>
    <w:pPr>
      <w:tabs>
        <w:tab w:val="left" w:pos="142"/>
      </w:tabs>
      <w:spacing w:before="200"/>
      <w:ind w:left="142" w:hanging="142"/>
    </w:pPr>
    <w:rPr>
      <w:sz w:val="18"/>
    </w:rPr>
  </w:style>
  <w:style w:type="character" w:customStyle="1" w:styleId="TextpoznpodarouChar">
    <w:name w:val="Text pozn. pod čarou Char"/>
    <w:basedOn w:val="Standardnpsmoodstavce"/>
    <w:link w:val="Textpoznpodarou"/>
    <w:semiHidden/>
    <w:rsid w:val="005D42D2"/>
    <w:rPr>
      <w:rFonts w:ascii="Times New Roman" w:eastAsia="Times New Roman" w:hAnsi="Times New Roman" w:cs="Times New Roman"/>
      <w:sz w:val="18"/>
      <w:szCs w:val="24"/>
      <w:lang w:eastAsia="cs-CZ"/>
    </w:rPr>
  </w:style>
  <w:style w:type="character" w:styleId="Znakapoznpodarou">
    <w:name w:val="footnote reference"/>
    <w:semiHidden/>
    <w:rsid w:val="005D42D2"/>
    <w:rPr>
      <w:rFonts w:ascii="Times New Roman" w:hAnsi="Times New Roman"/>
      <w:sz w:val="20"/>
      <w:vertAlign w:val="superscript"/>
    </w:rPr>
  </w:style>
  <w:style w:type="paragraph" w:customStyle="1" w:styleId="Mjodstavec">
    <w:name w:val="Můj odstavec"/>
    <w:basedOn w:val="Seznam2"/>
    <w:link w:val="MjodstavecChar"/>
    <w:rsid w:val="005D42D2"/>
    <w:pPr>
      <w:spacing w:after="120"/>
      <w:ind w:left="284" w:firstLine="567"/>
      <w:jc w:val="both"/>
    </w:pPr>
  </w:style>
  <w:style w:type="character" w:customStyle="1" w:styleId="MjodstavecChar">
    <w:name w:val="Můj odstavec Char"/>
    <w:link w:val="Mjodstavec"/>
    <w:rsid w:val="005D42D2"/>
    <w:rPr>
      <w:rFonts w:ascii="Times New Roman" w:eastAsia="Times New Roman" w:hAnsi="Times New Roman" w:cs="Times New Roman"/>
      <w:sz w:val="24"/>
      <w:szCs w:val="24"/>
      <w:lang w:eastAsia="cs-CZ"/>
    </w:rPr>
  </w:style>
  <w:style w:type="character" w:customStyle="1" w:styleId="Seznam2Char">
    <w:name w:val="Seznam 2 Char"/>
    <w:link w:val="Seznam2"/>
    <w:rsid w:val="005D42D2"/>
    <w:rPr>
      <w:rFonts w:ascii="Times New Roman" w:eastAsia="Times New Roman" w:hAnsi="Times New Roman" w:cs="Times New Roman"/>
      <w:sz w:val="24"/>
      <w:szCs w:val="24"/>
      <w:lang w:eastAsia="cs-CZ"/>
    </w:rPr>
  </w:style>
  <w:style w:type="paragraph" w:customStyle="1" w:styleId="Default">
    <w:name w:val="Default"/>
    <w:rsid w:val="005D42D2"/>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hlav">
    <w:name w:val="header"/>
    <w:basedOn w:val="Normln"/>
    <w:link w:val="ZhlavChar"/>
    <w:rsid w:val="005D42D2"/>
    <w:pPr>
      <w:tabs>
        <w:tab w:val="center" w:pos="4536"/>
        <w:tab w:val="right" w:pos="9072"/>
      </w:tabs>
    </w:pPr>
    <w:rPr>
      <w:szCs w:val="20"/>
    </w:rPr>
  </w:style>
  <w:style w:type="character" w:customStyle="1" w:styleId="ZhlavChar">
    <w:name w:val="Záhlaví Char"/>
    <w:basedOn w:val="Standardnpsmoodstavce"/>
    <w:link w:val="Zhlav"/>
    <w:rsid w:val="005D42D2"/>
    <w:rPr>
      <w:rFonts w:ascii="Times New Roman" w:eastAsia="Times New Roman" w:hAnsi="Times New Roman" w:cs="Times New Roman"/>
      <w:sz w:val="24"/>
      <w:szCs w:val="20"/>
      <w:lang w:eastAsia="cs-CZ"/>
    </w:rPr>
  </w:style>
  <w:style w:type="paragraph" w:customStyle="1" w:styleId="mjodstavec0">
    <w:name w:val="mjodstavec"/>
    <w:basedOn w:val="Normln"/>
    <w:rsid w:val="00192BE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344">
      <w:bodyDiv w:val="1"/>
      <w:marLeft w:val="0"/>
      <w:marRight w:val="0"/>
      <w:marTop w:val="0"/>
      <w:marBottom w:val="0"/>
      <w:divBdr>
        <w:top w:val="none" w:sz="0" w:space="0" w:color="auto"/>
        <w:left w:val="none" w:sz="0" w:space="0" w:color="auto"/>
        <w:bottom w:val="none" w:sz="0" w:space="0" w:color="auto"/>
        <w:right w:val="none" w:sz="0" w:space="0" w:color="auto"/>
      </w:divBdr>
    </w:div>
    <w:div w:id="164693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800">
                <a:solidFill>
                  <a:schemeClr val="bg1">
                    <a:lumMod val="75000"/>
                  </a:schemeClr>
                </a:solidFill>
              </a:rPr>
              <a:t>POČET</a:t>
            </a:r>
            <a:r>
              <a:rPr lang="cs-CZ" sz="800" baseline="0">
                <a:solidFill>
                  <a:schemeClr val="bg1">
                    <a:lumMod val="75000"/>
                  </a:schemeClr>
                </a:solidFill>
              </a:rPr>
              <a:t> POŽÁRŮ ZA ÚO</a:t>
            </a:r>
            <a:endParaRPr lang="cs-CZ" sz="800">
              <a:solidFill>
                <a:schemeClr val="bg1">
                  <a:lumMod val="75000"/>
                </a:schemeClr>
              </a:solidFill>
            </a:endParaRPr>
          </a:p>
        </c:rich>
      </c:tx>
      <c:overlay val="0"/>
    </c:title>
    <c:autoTitleDeleted val="0"/>
    <c:plotArea>
      <c:layout>
        <c:manualLayout>
          <c:layoutTarget val="inner"/>
          <c:xMode val="edge"/>
          <c:yMode val="edge"/>
          <c:x val="0.24137932801114814"/>
          <c:y val="0.15765897416685876"/>
          <c:w val="0.70656042789241724"/>
          <c:h val="0.6690630979518406"/>
        </c:manualLayout>
      </c:layout>
      <c:barChart>
        <c:barDir val="bar"/>
        <c:grouping val="clustered"/>
        <c:varyColors val="0"/>
        <c:ser>
          <c:idx val="0"/>
          <c:order val="0"/>
          <c:tx>
            <c:strRef>
              <c:f>List1!$B$1</c:f>
              <c:strCache>
                <c:ptCount val="1"/>
                <c:pt idx="0">
                  <c:v>Sloupec1</c:v>
                </c:pt>
              </c:strCache>
            </c:strRef>
          </c:tx>
          <c:invertIfNegative val="0"/>
          <c:cat>
            <c:strRef>
              <c:f>List1!$A$2:$A$8</c:f>
              <c:strCache>
                <c:ptCount val="7"/>
                <c:pt idx="0">
                  <c:v>Tábor</c:v>
                </c:pt>
                <c:pt idx="1">
                  <c:v>Strakonice</c:v>
                </c:pt>
                <c:pt idx="2">
                  <c:v>Prachatice</c:v>
                </c:pt>
                <c:pt idx="3">
                  <c:v>Písek</c:v>
                </c:pt>
                <c:pt idx="4">
                  <c:v>Jindřichův Hradec</c:v>
                </c:pt>
                <c:pt idx="5">
                  <c:v>Český Krumlov</c:v>
                </c:pt>
                <c:pt idx="6">
                  <c:v>České Budějovice</c:v>
                </c:pt>
              </c:strCache>
            </c:strRef>
          </c:cat>
          <c:val>
            <c:numRef>
              <c:f>List1!$B$2:$B$8</c:f>
              <c:numCache>
                <c:formatCode>General</c:formatCode>
                <c:ptCount val="7"/>
                <c:pt idx="0">
                  <c:v>0</c:v>
                </c:pt>
              </c:numCache>
            </c:numRef>
          </c:val>
          <c:extLst>
            <c:ext xmlns:c16="http://schemas.microsoft.com/office/drawing/2014/chart" uri="{C3380CC4-5D6E-409C-BE32-E72D297353CC}">
              <c16:uniqueId val="{00000000-7DCA-4A7A-B55F-93E2DA8E0EB7}"/>
            </c:ext>
          </c:extLst>
        </c:ser>
        <c:ser>
          <c:idx val="1"/>
          <c:order val="1"/>
          <c:tx>
            <c:strRef>
              <c:f>List1!$C$1</c:f>
              <c:strCache>
                <c:ptCount val="1"/>
                <c:pt idx="0">
                  <c:v>Řada 2</c:v>
                </c:pt>
              </c:strCache>
            </c:strRef>
          </c:tx>
          <c:spPr>
            <a:solidFill>
              <a:srgbClr val="92D050"/>
            </a:solidFill>
          </c:spPr>
          <c:invertIfNegative val="0"/>
          <c:dLbls>
            <c:dLbl>
              <c:idx val="0"/>
              <c:layout>
                <c:manualLayout>
                  <c:x val="-1.301301173092268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DCA-4A7A-B55F-93E2DA8E0EB7}"/>
                </c:ext>
              </c:extLst>
            </c:dLbl>
            <c:dLbl>
              <c:idx val="2"/>
              <c:layout>
                <c:manualLayout>
                  <c:x val="-9.762258513362064E-3"/>
                  <c:y val="-5.7284529962305906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DCA-4A7A-B55F-93E2DA8E0EB7}"/>
                </c:ext>
              </c:extLst>
            </c:dLbl>
            <c:dLbl>
              <c:idx val="6"/>
              <c:layout>
                <c:manualLayout>
                  <c:x val="-5.8558552789151945E-2"/>
                  <c:y val="3.63186501129881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DCA-4A7A-B55F-93E2DA8E0EB7}"/>
                </c:ext>
              </c:extLst>
            </c:dLbl>
            <c:spPr>
              <a:noFill/>
              <a:ln>
                <a:noFill/>
              </a:ln>
              <a:effectLst/>
            </c:spPr>
            <c:txPr>
              <a:bodyPr/>
              <a:lstStyle/>
              <a:p>
                <a:pPr>
                  <a:defRPr sz="600" b="1">
                    <a:solidFill>
                      <a:schemeClr val="bg1">
                        <a:lumMod val="75000"/>
                      </a:schemeClr>
                    </a:solidFill>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List1!$A$2:$A$8</c:f>
              <c:strCache>
                <c:ptCount val="7"/>
                <c:pt idx="0">
                  <c:v>Tábor</c:v>
                </c:pt>
                <c:pt idx="1">
                  <c:v>Strakonice</c:v>
                </c:pt>
                <c:pt idx="2">
                  <c:v>Prachatice</c:v>
                </c:pt>
                <c:pt idx="3">
                  <c:v>Písek</c:v>
                </c:pt>
                <c:pt idx="4">
                  <c:v>Jindřichův Hradec</c:v>
                </c:pt>
                <c:pt idx="5">
                  <c:v>Český Krumlov</c:v>
                </c:pt>
                <c:pt idx="6">
                  <c:v>České Budějovice</c:v>
                </c:pt>
              </c:strCache>
            </c:strRef>
          </c:cat>
          <c:val>
            <c:numRef>
              <c:f>List1!$C$2:$C$8</c:f>
              <c:numCache>
                <c:formatCode>General</c:formatCode>
                <c:ptCount val="7"/>
                <c:pt idx="0">
                  <c:v>135</c:v>
                </c:pt>
                <c:pt idx="1">
                  <c:v>95</c:v>
                </c:pt>
                <c:pt idx="2">
                  <c:v>88</c:v>
                </c:pt>
                <c:pt idx="3">
                  <c:v>104</c:v>
                </c:pt>
                <c:pt idx="4">
                  <c:v>148</c:v>
                </c:pt>
                <c:pt idx="5">
                  <c:v>144</c:v>
                </c:pt>
                <c:pt idx="6">
                  <c:v>242</c:v>
                </c:pt>
              </c:numCache>
            </c:numRef>
          </c:val>
          <c:extLst>
            <c:ext xmlns:c16="http://schemas.microsoft.com/office/drawing/2014/chart" uri="{C3380CC4-5D6E-409C-BE32-E72D297353CC}">
              <c16:uniqueId val="{00000004-7DCA-4A7A-B55F-93E2DA8E0EB7}"/>
            </c:ext>
          </c:extLst>
        </c:ser>
        <c:ser>
          <c:idx val="2"/>
          <c:order val="2"/>
          <c:tx>
            <c:strRef>
              <c:f>List1!$D$1</c:f>
              <c:strCache>
                <c:ptCount val="1"/>
                <c:pt idx="0">
                  <c:v>Sloupec2</c:v>
                </c:pt>
              </c:strCache>
            </c:strRef>
          </c:tx>
          <c:invertIfNegative val="0"/>
          <c:cat>
            <c:strRef>
              <c:f>List1!$A$2:$A$8</c:f>
              <c:strCache>
                <c:ptCount val="7"/>
                <c:pt idx="0">
                  <c:v>Tábor</c:v>
                </c:pt>
                <c:pt idx="1">
                  <c:v>Strakonice</c:v>
                </c:pt>
                <c:pt idx="2">
                  <c:v>Prachatice</c:v>
                </c:pt>
                <c:pt idx="3">
                  <c:v>Písek</c:v>
                </c:pt>
                <c:pt idx="4">
                  <c:v>Jindřichův Hradec</c:v>
                </c:pt>
                <c:pt idx="5">
                  <c:v>Český Krumlov</c:v>
                </c:pt>
                <c:pt idx="6">
                  <c:v>České Budějovice</c:v>
                </c:pt>
              </c:strCache>
            </c:strRef>
          </c:cat>
          <c:val>
            <c:numRef>
              <c:f>List1!$D$2:$D$8</c:f>
              <c:numCache>
                <c:formatCode>General</c:formatCode>
                <c:ptCount val="7"/>
              </c:numCache>
            </c:numRef>
          </c:val>
          <c:extLst>
            <c:ext xmlns:c16="http://schemas.microsoft.com/office/drawing/2014/chart" uri="{C3380CC4-5D6E-409C-BE32-E72D297353CC}">
              <c16:uniqueId val="{00000005-7DCA-4A7A-B55F-93E2DA8E0EB7}"/>
            </c:ext>
          </c:extLst>
        </c:ser>
        <c:dLbls>
          <c:showLegendKey val="0"/>
          <c:showVal val="0"/>
          <c:showCatName val="0"/>
          <c:showSerName val="0"/>
          <c:showPercent val="0"/>
          <c:showBubbleSize val="0"/>
        </c:dLbls>
        <c:gapWidth val="75"/>
        <c:overlap val="-25"/>
        <c:axId val="115362432"/>
        <c:axId val="115376512"/>
      </c:barChart>
      <c:catAx>
        <c:axId val="115362432"/>
        <c:scaling>
          <c:orientation val="minMax"/>
        </c:scaling>
        <c:delete val="0"/>
        <c:axPos val="l"/>
        <c:numFmt formatCode="General" sourceLinked="0"/>
        <c:majorTickMark val="none"/>
        <c:minorTickMark val="none"/>
        <c:tickLblPos val="nextTo"/>
        <c:txPr>
          <a:bodyPr/>
          <a:lstStyle/>
          <a:p>
            <a:pPr>
              <a:defRPr sz="800" baseline="0">
                <a:solidFill>
                  <a:schemeClr val="bg1">
                    <a:lumMod val="50000"/>
                  </a:schemeClr>
                </a:solidFill>
                <a:latin typeface="Candara" panose="020E0502030303020204" pitchFamily="34" charset="0"/>
              </a:defRPr>
            </a:pPr>
            <a:endParaRPr lang="cs-CZ"/>
          </a:p>
        </c:txPr>
        <c:crossAx val="115376512"/>
        <c:crosses val="autoZero"/>
        <c:auto val="1"/>
        <c:lblAlgn val="ctr"/>
        <c:lblOffset val="100"/>
        <c:noMultiLvlLbl val="0"/>
      </c:catAx>
      <c:valAx>
        <c:axId val="115376512"/>
        <c:scaling>
          <c:orientation val="minMax"/>
          <c:max val="250"/>
        </c:scaling>
        <c:delete val="0"/>
        <c:axPos val="b"/>
        <c:majorGridlines>
          <c:spPr>
            <a:ln>
              <a:solidFill>
                <a:schemeClr val="bg1">
                  <a:lumMod val="75000"/>
                </a:schemeClr>
              </a:solidFill>
            </a:ln>
          </c:spPr>
        </c:majorGridlines>
        <c:numFmt formatCode="General" sourceLinked="1"/>
        <c:majorTickMark val="none"/>
        <c:minorTickMark val="none"/>
        <c:tickLblPos val="nextTo"/>
        <c:spPr>
          <a:ln w="9525">
            <a:noFill/>
          </a:ln>
        </c:spPr>
        <c:txPr>
          <a:bodyPr/>
          <a:lstStyle/>
          <a:p>
            <a:pPr>
              <a:defRPr sz="600" b="1" baseline="0">
                <a:solidFill>
                  <a:schemeClr val="bg1">
                    <a:lumMod val="75000"/>
                  </a:schemeClr>
                </a:solidFill>
                <a:latin typeface="Arial" panose="020B0604020202020204" pitchFamily="34" charset="0"/>
                <a:cs typeface="Times New Roman" panose="02020603050405020304" pitchFamily="18" charset="0"/>
              </a:defRPr>
            </a:pPr>
            <a:endParaRPr lang="cs-CZ"/>
          </a:p>
        </c:txPr>
        <c:crossAx val="115362432"/>
        <c:crosses val="autoZero"/>
        <c:crossBetween val="between"/>
      </c:valAx>
      <c:spPr>
        <a:noFill/>
        <a:ln w="25400">
          <a:noFill/>
        </a:ln>
      </c:spPr>
    </c:plotArea>
    <c:plotVisOnly val="1"/>
    <c:dispBlanksAs val="gap"/>
    <c:showDLblsOverMax val="0"/>
  </c:chart>
  <c:spPr>
    <a:ln>
      <a:solidFill>
        <a:schemeClr val="bg1">
          <a:lumMod val="85000"/>
        </a:schemeClr>
      </a:solidFill>
    </a:ln>
  </c:spPr>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1C59B-DBE4-484E-8955-5AC813D5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1700</Words>
  <Characters>10031</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Horálek Jaromír</dc:creator>
  <cp:lastModifiedBy>Janda Josef</cp:lastModifiedBy>
  <cp:revision>2</cp:revision>
  <cp:lastPrinted>2019-01-31T12:43:00Z</cp:lastPrinted>
  <dcterms:created xsi:type="dcterms:W3CDTF">2022-03-09T14:11:00Z</dcterms:created>
  <dcterms:modified xsi:type="dcterms:W3CDTF">2022-03-09T14:11:00Z</dcterms:modified>
</cp:coreProperties>
</file>