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902485" w:rsidRDefault="00902485" w:rsidP="00902485">
      <w:pPr>
        <w:pStyle w:val="Nadpis3"/>
        <w:spacing w:after="120"/>
        <w:rPr>
          <w:rFonts w:ascii="Candara" w:hAnsi="Candara"/>
          <w:i/>
          <w:sz w:val="24"/>
          <w:szCs w:val="24"/>
          <w:u w:val="single"/>
        </w:rPr>
      </w:pPr>
      <w:bookmarkStart w:id="0" w:name="_Toc287963461"/>
      <w:r>
        <w:rPr>
          <w:rFonts w:ascii="Candara" w:hAnsi="Candara"/>
          <w:i/>
          <w:sz w:val="24"/>
          <w:szCs w:val="24"/>
          <w:u w:val="single"/>
        </w:rPr>
        <w:t>Kontrolní činnost</w:t>
      </w:r>
    </w:p>
    <w:bookmarkEnd w:id="0"/>
    <w:p w:rsidR="002D033F" w:rsidRDefault="002D033F" w:rsidP="002D033F">
      <w:pPr>
        <w:pStyle w:val="Mjodstavec"/>
        <w:rPr>
          <w:rFonts w:ascii="Candara" w:hAnsi="Candara"/>
        </w:rPr>
      </w:pPr>
      <w:r w:rsidRPr="00AE14BE">
        <w:rPr>
          <w:rFonts w:ascii="Candara" w:hAnsi="Candara"/>
        </w:rPr>
        <w:t xml:space="preserve">Kontrolní činnost byla v uplynulém roce zajišťována v souladu s „Plánem kontrol HZS Jihočeského kraje na rok 2022“. V roce 2022 bylo provedeno </w:t>
      </w:r>
      <w:r w:rsidRPr="00AE14BE">
        <w:rPr>
          <w:rFonts w:ascii="Candara" w:hAnsi="Candara"/>
          <w:b/>
          <w:i/>
        </w:rPr>
        <w:t>celkem 325 kontrolních úkonů</w:t>
      </w:r>
      <w:r w:rsidRPr="00AE14BE">
        <w:rPr>
          <w:rFonts w:ascii="Candara" w:hAnsi="Candara"/>
        </w:rPr>
        <w:t xml:space="preserve"> (komplexní požární kontroly, tematické požární kontroly, úkony</w:t>
      </w:r>
      <w:r>
        <w:rPr>
          <w:rFonts w:ascii="Candara" w:hAnsi="Candara"/>
        </w:rPr>
        <w:t xml:space="preserve"> předcházející kontrole</w:t>
      </w:r>
      <w:r w:rsidRPr="00D405A2">
        <w:rPr>
          <w:rFonts w:ascii="Candara" w:hAnsi="Candara"/>
        </w:rPr>
        <w:t xml:space="preserve"> a kontroly v kontrolní skupině jiného orgánu).</w:t>
      </w:r>
    </w:p>
    <w:p w:rsidR="002D033F" w:rsidRDefault="002D033F" w:rsidP="002D033F">
      <w:pPr>
        <w:pStyle w:val="Mjodstavec"/>
        <w:rPr>
          <w:rFonts w:ascii="Candara" w:hAnsi="Candara"/>
          <w:b/>
          <w:i/>
          <w:sz w:val="22"/>
        </w:rPr>
      </w:pPr>
    </w:p>
    <w:p w:rsidR="002D033F" w:rsidRDefault="002D033F" w:rsidP="002D033F">
      <w:pPr>
        <w:pStyle w:val="Seznam2"/>
        <w:tabs>
          <w:tab w:val="left" w:pos="0"/>
          <w:tab w:val="left" w:pos="360"/>
          <w:tab w:val="left" w:pos="540"/>
        </w:tabs>
        <w:ind w:left="0" w:firstLine="0"/>
        <w:jc w:val="both"/>
        <w:rPr>
          <w:rFonts w:ascii="Candara" w:hAnsi="Candara"/>
          <w:b/>
          <w:i/>
          <w:sz w:val="22"/>
        </w:rPr>
      </w:pPr>
      <w:r>
        <w:rPr>
          <w:rFonts w:ascii="Candara" w:hAnsi="Candara"/>
          <w:b/>
          <w:i/>
          <w:sz w:val="22"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386"/>
      </w:tblGrid>
      <w:tr w:rsidR="002D033F" w:rsidRPr="00AE14BE" w:rsidTr="00C34364">
        <w:trPr>
          <w:cantSplit/>
          <w:trHeight w:val="327"/>
          <w:jc w:val="center"/>
        </w:trPr>
        <w:tc>
          <w:tcPr>
            <w:tcW w:w="1271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Požární kontrola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ind w:hanging="1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 xml:space="preserve">Ředitelství HZS </w:t>
            </w:r>
            <w:proofErr w:type="spellStart"/>
            <w:r w:rsidRPr="00AE14BE">
              <w:rPr>
                <w:rFonts w:ascii="Candara" w:hAnsi="Candara"/>
                <w:b/>
                <w:sz w:val="22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 xml:space="preserve">HZS </w:t>
            </w:r>
            <w:proofErr w:type="spellStart"/>
            <w:r w:rsidRPr="00AE14BE">
              <w:rPr>
                <w:rFonts w:ascii="Candara" w:hAnsi="Candara"/>
                <w:b/>
                <w:sz w:val="22"/>
              </w:rPr>
              <w:t>JčK</w:t>
            </w:r>
            <w:proofErr w:type="spellEnd"/>
            <w:r w:rsidRPr="00AE14BE">
              <w:rPr>
                <w:rFonts w:ascii="Candara" w:hAnsi="Candara"/>
                <w:b/>
                <w:sz w:val="22"/>
              </w:rPr>
              <w:t xml:space="preserve"> územní odbor</w:t>
            </w:r>
          </w:p>
        </w:tc>
        <w:tc>
          <w:tcPr>
            <w:tcW w:w="1386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  <w:r w:rsidRPr="00AE14BE">
              <w:rPr>
                <w:rFonts w:ascii="Candara" w:hAnsi="Candara"/>
                <w:b/>
                <w:bCs/>
                <w:sz w:val="22"/>
              </w:rPr>
              <w:t xml:space="preserve">Celkem HZS </w:t>
            </w:r>
            <w:proofErr w:type="spellStart"/>
            <w:r w:rsidRPr="00AE14BE">
              <w:rPr>
                <w:rFonts w:ascii="Candara" w:hAnsi="Candara"/>
                <w:b/>
                <w:bCs/>
                <w:sz w:val="22"/>
              </w:rPr>
              <w:t>JčK</w:t>
            </w:r>
            <w:proofErr w:type="spellEnd"/>
          </w:p>
        </w:tc>
      </w:tr>
      <w:tr w:rsidR="002D033F" w:rsidRPr="00AE14BE" w:rsidTr="00C34364">
        <w:trPr>
          <w:cantSplit/>
          <w:trHeight w:val="327"/>
          <w:jc w:val="center"/>
        </w:trPr>
        <w:tc>
          <w:tcPr>
            <w:tcW w:w="1271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Cs w:val="20"/>
              </w:rPr>
            </w:pPr>
            <w:r w:rsidRPr="00AE14BE">
              <w:rPr>
                <w:rFonts w:ascii="Candara" w:hAnsi="Candara"/>
                <w:b/>
                <w:szCs w:val="20"/>
              </w:rPr>
              <w:t>Český Krumlov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Cs w:val="20"/>
              </w:rPr>
            </w:pPr>
            <w:r w:rsidRPr="00AE14BE">
              <w:rPr>
                <w:rFonts w:ascii="Candara" w:hAnsi="Candara"/>
                <w:b/>
                <w:szCs w:val="20"/>
              </w:rPr>
              <w:t>Jindřichův Hradec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Cs w:val="20"/>
              </w:rPr>
            </w:pPr>
            <w:r w:rsidRPr="00AE14BE">
              <w:rPr>
                <w:rFonts w:ascii="Candara" w:hAnsi="Candara"/>
                <w:b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Cs w:val="20"/>
              </w:rPr>
            </w:pPr>
            <w:r w:rsidRPr="00AE14BE">
              <w:rPr>
                <w:rFonts w:ascii="Candara" w:hAnsi="Candara"/>
                <w:b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Cs w:val="20"/>
              </w:rPr>
            </w:pPr>
            <w:r w:rsidRPr="00AE14BE">
              <w:rPr>
                <w:rFonts w:ascii="Candara" w:hAnsi="Candara"/>
                <w:b/>
                <w:szCs w:val="20"/>
              </w:rPr>
              <w:t>Strakonice</w:t>
            </w:r>
          </w:p>
        </w:tc>
        <w:tc>
          <w:tcPr>
            <w:tcW w:w="90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Cs w:val="20"/>
              </w:rPr>
            </w:pPr>
            <w:r w:rsidRPr="00AE14BE">
              <w:rPr>
                <w:rFonts w:ascii="Candara" w:hAnsi="Candara"/>
                <w:b/>
                <w:szCs w:val="20"/>
              </w:rPr>
              <w:t>Tábor</w:t>
            </w:r>
          </w:p>
        </w:tc>
        <w:tc>
          <w:tcPr>
            <w:tcW w:w="1386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</w:p>
        </w:tc>
      </w:tr>
      <w:tr w:rsidR="002D033F" w:rsidRPr="00AE14BE" w:rsidTr="00C34364">
        <w:trPr>
          <w:cantSplit/>
          <w:trHeight w:val="327"/>
          <w:jc w:val="center"/>
        </w:trPr>
        <w:tc>
          <w:tcPr>
            <w:tcW w:w="1271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eastAsia="Arial Unicode MS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3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5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6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9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</w:t>
            </w:r>
          </w:p>
        </w:tc>
        <w:tc>
          <w:tcPr>
            <w:tcW w:w="102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7</w:t>
            </w:r>
          </w:p>
        </w:tc>
        <w:tc>
          <w:tcPr>
            <w:tcW w:w="90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0</w:t>
            </w:r>
          </w:p>
        </w:tc>
        <w:tc>
          <w:tcPr>
            <w:tcW w:w="1386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31</w:t>
            </w:r>
          </w:p>
        </w:tc>
      </w:tr>
      <w:tr w:rsidR="002D033F" w:rsidRPr="00AE14BE" w:rsidTr="00C34364">
        <w:trPr>
          <w:cantSplit/>
          <w:trHeight w:val="327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eastAsia="Arial Unicode MS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tematické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24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36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56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38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25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8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194</w:t>
            </w:r>
          </w:p>
        </w:tc>
      </w:tr>
      <w:tr w:rsidR="002D033F" w:rsidRPr="00AE14BE" w:rsidTr="00C34364">
        <w:trPr>
          <w:cantSplit/>
          <w:trHeight w:val="498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úkony předcházející kontrole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35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18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100</w:t>
            </w:r>
          </w:p>
        </w:tc>
      </w:tr>
    </w:tbl>
    <w:p w:rsidR="002D033F" w:rsidRPr="00AE14BE" w:rsidRDefault="002D033F" w:rsidP="002D033F">
      <w:pPr>
        <w:jc w:val="both"/>
        <w:rPr>
          <w:rFonts w:ascii="Candara" w:hAnsi="Candara"/>
          <w:color w:val="FF0000"/>
        </w:rPr>
      </w:pPr>
      <w:r w:rsidRPr="00AE14BE">
        <w:rPr>
          <w:rFonts w:ascii="Candara" w:hAnsi="Candara"/>
          <w:color w:val="FF0000"/>
        </w:rPr>
        <w:tab/>
      </w:r>
    </w:p>
    <w:p w:rsidR="002D033F" w:rsidRPr="00AE14BE" w:rsidRDefault="002D033F" w:rsidP="002D033F">
      <w:pPr>
        <w:pStyle w:val="Mjodstavec"/>
        <w:rPr>
          <w:rFonts w:ascii="Candara" w:hAnsi="Candara"/>
        </w:rPr>
      </w:pPr>
      <w:r w:rsidRPr="00AE14BE">
        <w:rPr>
          <w:rFonts w:ascii="Candara" w:hAnsi="Candara"/>
        </w:rPr>
        <w:t xml:space="preserve">Kontrolní činnost byla zaměřena na prověření dodržování povinností stanovených předpisy o požární ochraně ve stanoveném rozsahu u jednotlivých právních subjektů. </w:t>
      </w:r>
    </w:p>
    <w:p w:rsidR="002D033F" w:rsidRPr="00AE14BE" w:rsidRDefault="002D033F" w:rsidP="002D033F">
      <w:pPr>
        <w:pStyle w:val="Mjodstavec"/>
        <w:rPr>
          <w:rFonts w:ascii="Candara" w:hAnsi="Candara"/>
        </w:rPr>
      </w:pPr>
      <w:r w:rsidRPr="00AE14BE">
        <w:rPr>
          <w:rFonts w:ascii="Candara" w:hAnsi="Candara"/>
        </w:rPr>
        <w:t xml:space="preserve">Tematické požární kontroly byly v roce 2022 zaměřeny např. na kontroly nočních podniků a restauračních zařízení v rámci prevence před podáváním alkoholu osobám mladším 18 let. Dále byly realizovány kontroly zemědělských subjektů, kontroly na podnět a kontroly po požáru. </w:t>
      </w:r>
    </w:p>
    <w:p w:rsidR="002D033F" w:rsidRPr="00D405A2" w:rsidRDefault="002D033F" w:rsidP="002D033F">
      <w:pPr>
        <w:pStyle w:val="Zhlav"/>
        <w:jc w:val="both"/>
        <w:rPr>
          <w:rFonts w:ascii="Candara" w:hAnsi="Candara"/>
          <w:b/>
          <w:szCs w:val="24"/>
        </w:rPr>
      </w:pPr>
      <w:r w:rsidRPr="00AE14BE">
        <w:rPr>
          <w:rFonts w:ascii="Candara" w:hAnsi="Candara"/>
          <w:b/>
          <w:szCs w:val="24"/>
        </w:rPr>
        <w:t>Vyhodnocení kontrolní činnosti</w:t>
      </w:r>
    </w:p>
    <w:p w:rsidR="002D033F" w:rsidRDefault="002D033F" w:rsidP="002D033F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V průběhu jednotlivých kontrol byly zjištěny nedostatky, jejichž vyhodnocení je </w:t>
      </w:r>
      <w:r w:rsidRPr="00AE14BE">
        <w:rPr>
          <w:rFonts w:ascii="Candara" w:hAnsi="Candara"/>
        </w:rPr>
        <w:t>uvedeno v tabulce č. 3 a v níže uvedeném textu.</w:t>
      </w:r>
    </w:p>
    <w:p w:rsidR="002D033F" w:rsidRPr="00AE14BE" w:rsidRDefault="002D033F" w:rsidP="002D033F">
      <w:pPr>
        <w:pStyle w:val="Mjodstavec"/>
        <w:rPr>
          <w:rFonts w:ascii="Candara" w:hAnsi="Candara"/>
        </w:rPr>
      </w:pPr>
    </w:p>
    <w:p w:rsidR="002D033F" w:rsidRPr="00AE14BE" w:rsidRDefault="002D033F" w:rsidP="002D033F">
      <w:pPr>
        <w:jc w:val="both"/>
        <w:rPr>
          <w:rFonts w:ascii="Candara" w:hAnsi="Candara"/>
          <w:b/>
          <w:i/>
          <w:sz w:val="22"/>
        </w:rPr>
      </w:pPr>
      <w:r w:rsidRPr="00AE14BE">
        <w:rPr>
          <w:rFonts w:ascii="Candara" w:hAnsi="Candara"/>
          <w:b/>
          <w:i/>
          <w:sz w:val="22"/>
        </w:rPr>
        <w:t>Tabulka č. 3: Přehled provedených požárních kontrol bez závad za HZS Jihočeského kraje</w:t>
      </w:r>
    </w:p>
    <w:tbl>
      <w:tblPr>
        <w:tblW w:w="955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1586"/>
        <w:gridCol w:w="1591"/>
        <w:gridCol w:w="1589"/>
        <w:gridCol w:w="1591"/>
        <w:gridCol w:w="1599"/>
        <w:gridCol w:w="1601"/>
      </w:tblGrid>
      <w:tr w:rsidR="002D033F" w:rsidRPr="00AE14BE" w:rsidTr="00C34364">
        <w:trPr>
          <w:trHeight w:val="203"/>
          <w:jc w:val="center"/>
        </w:trPr>
        <w:tc>
          <w:tcPr>
            <w:tcW w:w="3177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Počet kontrol</w:t>
            </w:r>
          </w:p>
        </w:tc>
        <w:tc>
          <w:tcPr>
            <w:tcW w:w="3180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Počet kontrol bez závad</w:t>
            </w:r>
          </w:p>
        </w:tc>
        <w:tc>
          <w:tcPr>
            <w:tcW w:w="3200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Kontroly bez závad (%)</w:t>
            </w:r>
          </w:p>
        </w:tc>
      </w:tr>
      <w:tr w:rsidR="002D033F" w:rsidRPr="00AE14BE" w:rsidTr="00C34364">
        <w:trPr>
          <w:trHeight w:val="254"/>
          <w:jc w:val="center"/>
        </w:trPr>
        <w:tc>
          <w:tcPr>
            <w:tcW w:w="1586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KK</w:t>
            </w:r>
          </w:p>
        </w:tc>
        <w:tc>
          <w:tcPr>
            <w:tcW w:w="159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TK</w:t>
            </w:r>
          </w:p>
        </w:tc>
        <w:tc>
          <w:tcPr>
            <w:tcW w:w="1589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KK</w:t>
            </w:r>
          </w:p>
        </w:tc>
        <w:tc>
          <w:tcPr>
            <w:tcW w:w="159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TK</w:t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KK</w:t>
            </w:r>
          </w:p>
        </w:tc>
        <w:tc>
          <w:tcPr>
            <w:tcW w:w="160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2D033F" w:rsidRPr="00AE14BE" w:rsidRDefault="002D033F" w:rsidP="00C34364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TK</w:t>
            </w:r>
          </w:p>
        </w:tc>
      </w:tr>
      <w:tr w:rsidR="002D033F" w:rsidRPr="00AE14BE" w:rsidTr="00C34364">
        <w:trPr>
          <w:trHeight w:val="203"/>
          <w:jc w:val="center"/>
        </w:trPr>
        <w:tc>
          <w:tcPr>
            <w:tcW w:w="1586" w:type="dxa"/>
            <w:tcBorders>
              <w:top w:val="single" w:sz="12" w:space="0" w:color="000000"/>
            </w:tcBorders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31</w:t>
            </w:r>
          </w:p>
        </w:tc>
        <w:tc>
          <w:tcPr>
            <w:tcW w:w="1591" w:type="dxa"/>
            <w:tcBorders>
              <w:top w:val="single" w:sz="12" w:space="0" w:color="000000"/>
            </w:tcBorders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194</w:t>
            </w:r>
          </w:p>
        </w:tc>
        <w:tc>
          <w:tcPr>
            <w:tcW w:w="1589" w:type="dxa"/>
            <w:tcBorders>
              <w:top w:val="single" w:sz="12" w:space="0" w:color="000000"/>
            </w:tcBorders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19</w:t>
            </w:r>
          </w:p>
        </w:tc>
        <w:tc>
          <w:tcPr>
            <w:tcW w:w="1591" w:type="dxa"/>
            <w:tcBorders>
              <w:top w:val="single" w:sz="12" w:space="0" w:color="000000"/>
            </w:tcBorders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144</w:t>
            </w:r>
          </w:p>
        </w:tc>
        <w:tc>
          <w:tcPr>
            <w:tcW w:w="1599" w:type="dxa"/>
            <w:tcBorders>
              <w:top w:val="single" w:sz="12" w:space="0" w:color="000000"/>
            </w:tcBorders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61,3</w:t>
            </w:r>
          </w:p>
        </w:tc>
        <w:tc>
          <w:tcPr>
            <w:tcW w:w="1601" w:type="dxa"/>
            <w:tcBorders>
              <w:top w:val="single" w:sz="12" w:space="0" w:color="000000"/>
            </w:tcBorders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75</w:t>
            </w:r>
          </w:p>
        </w:tc>
      </w:tr>
    </w:tbl>
    <w:p w:rsidR="002D033F" w:rsidRPr="00AE14BE" w:rsidRDefault="002D033F" w:rsidP="002D033F">
      <w:pPr>
        <w:ind w:firstLine="284"/>
        <w:jc w:val="both"/>
        <w:rPr>
          <w:rFonts w:ascii="Candara" w:hAnsi="Candara"/>
          <w:b/>
          <w:i/>
          <w:iCs/>
        </w:rPr>
      </w:pPr>
    </w:p>
    <w:p w:rsidR="002D033F" w:rsidRPr="00AE14BE" w:rsidRDefault="002D033F" w:rsidP="002D033F">
      <w:pPr>
        <w:ind w:firstLine="284"/>
        <w:jc w:val="both"/>
        <w:rPr>
          <w:rFonts w:ascii="Candara" w:hAnsi="Candara"/>
          <w:b/>
          <w:i/>
          <w:iCs/>
        </w:rPr>
      </w:pPr>
      <w:r w:rsidRPr="00AE14BE">
        <w:rPr>
          <w:rFonts w:ascii="Candara" w:hAnsi="Candara"/>
          <w:b/>
          <w:i/>
          <w:iCs/>
        </w:rPr>
        <w:t>Nejčastěji zjištěné nedostatky: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AE14BE">
        <w:rPr>
          <w:rFonts w:ascii="Candara" w:hAnsi="Candara"/>
        </w:rPr>
        <w:t>v dokumentaci o začlenění provozované činnosti do kategorie podle míry požárního</w:t>
      </w:r>
      <w:r w:rsidRPr="00D405A2">
        <w:rPr>
          <w:rFonts w:ascii="Candara" w:hAnsi="Candara"/>
        </w:rPr>
        <w:t xml:space="preserve"> nebezpečí, 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při prokazování provozuschopnosti instalovaných požárně bezpečnostních zařízení včetně vyhrazených,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při označování pracovišť a dalších míst bezpečnostními značkami,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nepředložení schválené projektové dokumentace v rozsahu požárně bezpečnostních řešení a vydaných kolaudačních rozhodnutí,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nedostatečné označení únikových východů a směrů úniku osob,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 xml:space="preserve">nepředložení dokladů o odstranění závad zjištěných při revizi elektrického zařízení budov, 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neprovozuschopné hasicí přístroje, nevhodně umístněné,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zastavěné únikové cesty a východy,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nepřístupné hlavní uzávěry a vypínače médií,</w:t>
      </w:r>
    </w:p>
    <w:p w:rsidR="002D033F" w:rsidRPr="00D405A2" w:rsidRDefault="002D033F" w:rsidP="002D033F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 xml:space="preserve">nedodržení </w:t>
      </w:r>
      <w:proofErr w:type="spellStart"/>
      <w:r w:rsidRPr="00D405A2">
        <w:rPr>
          <w:rFonts w:ascii="Candara" w:hAnsi="Candara"/>
        </w:rPr>
        <w:t>odstupových</w:t>
      </w:r>
      <w:proofErr w:type="spellEnd"/>
      <w:r w:rsidRPr="00D405A2">
        <w:rPr>
          <w:rFonts w:ascii="Candara" w:hAnsi="Candara"/>
        </w:rPr>
        <w:t xml:space="preserve"> vzdáleností stohů sena (slámy) od komunikací a objektů u zemědělských subjektů.</w:t>
      </w:r>
    </w:p>
    <w:p w:rsidR="002D033F" w:rsidRPr="00D405A2" w:rsidRDefault="002D033F" w:rsidP="002D033F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>V roce 202</w:t>
      </w:r>
      <w:r>
        <w:rPr>
          <w:rFonts w:ascii="Candara" w:hAnsi="Candara"/>
        </w:rPr>
        <w:t>2</w:t>
      </w:r>
      <w:r w:rsidRPr="00D405A2">
        <w:rPr>
          <w:rFonts w:ascii="Candara" w:hAnsi="Candara"/>
        </w:rPr>
        <w:t xml:space="preserve"> se HZS </w:t>
      </w:r>
      <w:r w:rsidRPr="00AE14BE">
        <w:rPr>
          <w:rFonts w:ascii="Candara" w:hAnsi="Candara"/>
        </w:rPr>
        <w:t>Jihočeského kraje vyjadřoval k dokumentacím posouzení požárního nebezpečí. Celkem byla předložena 6 posouzení</w:t>
      </w:r>
      <w:r w:rsidRPr="00D405A2">
        <w:rPr>
          <w:rFonts w:ascii="Candara" w:hAnsi="Candara"/>
        </w:rPr>
        <w:t xml:space="preserve"> požárního nebezpečí. </w:t>
      </w:r>
    </w:p>
    <w:p w:rsidR="002D033F" w:rsidRDefault="002D033F" w:rsidP="002D033F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>V roce 202</w:t>
      </w:r>
      <w:r>
        <w:rPr>
          <w:rFonts w:ascii="Candara" w:hAnsi="Candara"/>
        </w:rPr>
        <w:t>2</w:t>
      </w:r>
      <w:r w:rsidRPr="00D405A2">
        <w:rPr>
          <w:rFonts w:ascii="Candara" w:hAnsi="Candara"/>
        </w:rPr>
        <w:t xml:space="preserve"> se příslušníci v souladu s platnou legislativou vyjadřovali k dokumentaci </w:t>
      </w:r>
      <w:r w:rsidRPr="00AE14BE">
        <w:rPr>
          <w:rFonts w:ascii="Candara" w:hAnsi="Candara"/>
        </w:rPr>
        <w:t xml:space="preserve">zdolávání požárů celkem pro 98 subjektů, které tuto dokumentaci předložily HZS Jihočeského kraje ke schválení. </w:t>
      </w:r>
    </w:p>
    <w:p w:rsidR="002D033F" w:rsidRPr="00AE14BE" w:rsidRDefault="002D033F" w:rsidP="002D033F">
      <w:pPr>
        <w:pStyle w:val="Mjodstavec"/>
        <w:rPr>
          <w:rFonts w:ascii="Candara" w:hAnsi="Candara"/>
        </w:rPr>
      </w:pPr>
      <w:bookmarkStart w:id="1" w:name="_GoBack"/>
      <w:bookmarkEnd w:id="1"/>
    </w:p>
    <w:p w:rsidR="002D033F" w:rsidRPr="00AE14BE" w:rsidRDefault="002D033F" w:rsidP="002D033F">
      <w:pPr>
        <w:jc w:val="both"/>
        <w:rPr>
          <w:rFonts w:ascii="Candara" w:hAnsi="Candara"/>
          <w:b/>
          <w:i/>
          <w:sz w:val="22"/>
        </w:rPr>
      </w:pPr>
      <w:r w:rsidRPr="00AE14BE">
        <w:rPr>
          <w:rFonts w:ascii="Candara" w:hAnsi="Candara"/>
          <w:b/>
          <w:i/>
          <w:sz w:val="22"/>
        </w:rPr>
        <w:t>Tabulka č. 4: Přehled vyjádření k dokumentaci zdolávání požárů za HZS Jihočeského kraje</w:t>
      </w:r>
    </w:p>
    <w:tbl>
      <w:tblPr>
        <w:tblW w:w="96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7"/>
        <w:gridCol w:w="1344"/>
        <w:gridCol w:w="1232"/>
        <w:gridCol w:w="850"/>
        <w:gridCol w:w="1100"/>
        <w:gridCol w:w="1168"/>
        <w:gridCol w:w="992"/>
        <w:gridCol w:w="1267"/>
      </w:tblGrid>
      <w:tr w:rsidR="002D033F" w:rsidRPr="00AE14BE" w:rsidTr="00C34364">
        <w:trPr>
          <w:cantSplit/>
          <w:trHeight w:val="327"/>
          <w:jc w:val="center"/>
        </w:trPr>
        <w:tc>
          <w:tcPr>
            <w:tcW w:w="1737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ind w:hanging="10"/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 xml:space="preserve">Ředitelství HZS </w:t>
            </w:r>
            <w:proofErr w:type="spellStart"/>
            <w:r w:rsidRPr="00AE14BE">
              <w:rPr>
                <w:rFonts w:ascii="Candara" w:hAnsi="Candara"/>
                <w:b/>
                <w:sz w:val="22"/>
              </w:rPr>
              <w:t>JčK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 xml:space="preserve">HZS </w:t>
            </w:r>
            <w:proofErr w:type="spellStart"/>
            <w:r w:rsidRPr="00AE14BE">
              <w:rPr>
                <w:rFonts w:ascii="Candara" w:hAnsi="Candara"/>
                <w:b/>
                <w:sz w:val="22"/>
              </w:rPr>
              <w:t>JčK</w:t>
            </w:r>
            <w:proofErr w:type="spellEnd"/>
            <w:r w:rsidRPr="00AE14BE">
              <w:rPr>
                <w:rFonts w:ascii="Candara" w:hAnsi="Candara"/>
                <w:b/>
                <w:sz w:val="22"/>
              </w:rPr>
              <w:t xml:space="preserve"> územní odbor</w:t>
            </w:r>
          </w:p>
        </w:tc>
        <w:tc>
          <w:tcPr>
            <w:tcW w:w="1267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  <w:r w:rsidRPr="00AE14BE">
              <w:rPr>
                <w:rFonts w:ascii="Candara" w:hAnsi="Candara"/>
                <w:b/>
                <w:bCs/>
                <w:sz w:val="22"/>
              </w:rPr>
              <w:t xml:space="preserve">Celkem HZS </w:t>
            </w:r>
            <w:proofErr w:type="spellStart"/>
            <w:r w:rsidRPr="00AE14BE">
              <w:rPr>
                <w:rFonts w:ascii="Candara" w:hAnsi="Candara"/>
                <w:b/>
                <w:bCs/>
                <w:sz w:val="22"/>
              </w:rPr>
              <w:t>JčK</w:t>
            </w:r>
            <w:proofErr w:type="spellEnd"/>
          </w:p>
        </w:tc>
      </w:tr>
      <w:tr w:rsidR="002D033F" w:rsidRPr="00AE14BE" w:rsidTr="00C34364">
        <w:trPr>
          <w:cantSplit/>
          <w:trHeight w:val="327"/>
          <w:jc w:val="center"/>
        </w:trPr>
        <w:tc>
          <w:tcPr>
            <w:tcW w:w="1737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Český Krumlov</w:t>
            </w:r>
          </w:p>
        </w:tc>
        <w:tc>
          <w:tcPr>
            <w:tcW w:w="1232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Jindřichův Hradec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Písek</w:t>
            </w:r>
          </w:p>
        </w:tc>
        <w:tc>
          <w:tcPr>
            <w:tcW w:w="110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Prachatice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Strakonice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sz w:val="22"/>
              </w:rPr>
            </w:pPr>
            <w:r w:rsidRPr="00AE14BE">
              <w:rPr>
                <w:rFonts w:ascii="Candara" w:hAnsi="Candara"/>
                <w:b/>
                <w:sz w:val="22"/>
              </w:rPr>
              <w:t>Tábor</w:t>
            </w:r>
          </w:p>
        </w:tc>
        <w:tc>
          <w:tcPr>
            <w:tcW w:w="1267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</w:p>
        </w:tc>
      </w:tr>
      <w:tr w:rsidR="002D033F" w:rsidRPr="00AE14BE" w:rsidTr="00C34364">
        <w:trPr>
          <w:cantSplit/>
          <w:trHeight w:val="327"/>
          <w:jc w:val="center"/>
        </w:trPr>
        <w:tc>
          <w:tcPr>
            <w:tcW w:w="1737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40</w:t>
            </w:r>
          </w:p>
        </w:tc>
        <w:tc>
          <w:tcPr>
            <w:tcW w:w="1344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12</w:t>
            </w:r>
          </w:p>
        </w:tc>
        <w:tc>
          <w:tcPr>
            <w:tcW w:w="1232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13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12</w:t>
            </w:r>
          </w:p>
        </w:tc>
        <w:tc>
          <w:tcPr>
            <w:tcW w:w="110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0</w:t>
            </w:r>
          </w:p>
        </w:tc>
        <w:tc>
          <w:tcPr>
            <w:tcW w:w="1168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21</w:t>
            </w:r>
          </w:p>
        </w:tc>
        <w:tc>
          <w:tcPr>
            <w:tcW w:w="1267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2D033F" w:rsidRPr="00AE14BE" w:rsidRDefault="002D033F" w:rsidP="00C34364">
            <w:pPr>
              <w:jc w:val="center"/>
              <w:rPr>
                <w:rFonts w:ascii="Candara" w:hAnsi="Candara"/>
                <w:sz w:val="22"/>
              </w:rPr>
            </w:pPr>
            <w:r w:rsidRPr="00AE14BE">
              <w:rPr>
                <w:rFonts w:ascii="Candara" w:hAnsi="Candara"/>
                <w:sz w:val="22"/>
              </w:rPr>
              <w:t>98</w:t>
            </w:r>
          </w:p>
        </w:tc>
      </w:tr>
    </w:tbl>
    <w:p w:rsidR="002D033F" w:rsidRPr="00AE14BE" w:rsidRDefault="002D033F" w:rsidP="002D033F">
      <w:pPr>
        <w:pStyle w:val="Mjodstavec"/>
        <w:spacing w:before="120"/>
        <w:rPr>
          <w:rFonts w:ascii="Candara" w:hAnsi="Candara"/>
        </w:rPr>
      </w:pPr>
      <w:r w:rsidRPr="00AE14BE">
        <w:rPr>
          <w:rFonts w:ascii="Candara" w:hAnsi="Candara"/>
        </w:rPr>
        <w:t>Dále byly poskytovány odborné konzultace pro občany, právní subjekty a odbornou veřejnost (osoby s odbornou</w:t>
      </w:r>
      <w:r w:rsidRPr="00D405A2">
        <w:rPr>
          <w:rFonts w:ascii="Candara" w:hAnsi="Candara"/>
        </w:rPr>
        <w:t xml:space="preserve"> způsobilostí) a byly samostatně nebo ve spolupráci s jinými orgány státní správy řešeny podněty občanů se zaměřením na oblast dodržování </w:t>
      </w:r>
      <w:r w:rsidRPr="00AE14BE">
        <w:rPr>
          <w:rFonts w:ascii="Candara" w:hAnsi="Candara"/>
        </w:rPr>
        <w:t>povinností stanovených předpisy o požární ochraně.</w:t>
      </w:r>
    </w:p>
    <w:p w:rsidR="002D033F" w:rsidRPr="00D405A2" w:rsidRDefault="002D033F" w:rsidP="002D033F">
      <w:pPr>
        <w:pStyle w:val="Mjodstavec"/>
        <w:spacing w:before="120"/>
        <w:rPr>
          <w:rFonts w:ascii="Candara" w:hAnsi="Candara"/>
        </w:rPr>
      </w:pPr>
      <w:r w:rsidRPr="00AE14BE">
        <w:rPr>
          <w:rFonts w:ascii="Candara" w:hAnsi="Candara"/>
        </w:rPr>
        <w:t>Plnění původního plánu kontrolní činnosti na rok 2022 bylo do značné míry ovlivněno plněním dalších úkolů souvisejících s řešením migrační krize, způsobenou ruskou invazí na Ukrajině, kdy byli převážně příslušníci s oddělení nebo pracovišť prevence, pověřeni plněním dalších úkolů souvisejících s touto krizí.</w:t>
      </w:r>
    </w:p>
    <w:p w:rsidR="007E6320" w:rsidRDefault="007E6320" w:rsidP="002D033F">
      <w:pPr>
        <w:pStyle w:val="Mjodstavec"/>
      </w:pPr>
    </w:p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D78A6"/>
    <w:multiLevelType w:val="hybridMultilevel"/>
    <w:tmpl w:val="70CA5DFC"/>
    <w:lvl w:ilvl="0" w:tplc="1FCC2C7C">
      <w:start w:val="1"/>
      <w:numFmt w:val="bullet"/>
      <w:lvlText w:val=""/>
      <w:lvlJc w:val="left"/>
      <w:pPr>
        <w:ind w:left="1069" w:hanging="359"/>
      </w:pPr>
      <w:rPr>
        <w:rFonts w:ascii="Symbol" w:hAnsi="Symbol"/>
      </w:rPr>
    </w:lvl>
    <w:lvl w:ilvl="1" w:tplc="D644ABB8">
      <w:start w:val="1"/>
      <w:numFmt w:val="bullet"/>
      <w:lvlText w:val="o"/>
      <w:lvlJc w:val="left"/>
      <w:pPr>
        <w:ind w:left="2291" w:hanging="359"/>
      </w:pPr>
      <w:rPr>
        <w:rFonts w:ascii="Courier New" w:hAnsi="Courier New"/>
      </w:rPr>
    </w:lvl>
    <w:lvl w:ilvl="2" w:tplc="2D22FB58">
      <w:start w:val="1"/>
      <w:numFmt w:val="bullet"/>
      <w:lvlText w:val=""/>
      <w:lvlJc w:val="left"/>
      <w:pPr>
        <w:ind w:left="3011" w:hanging="359"/>
      </w:pPr>
      <w:rPr>
        <w:rFonts w:ascii="Wingdings" w:hAnsi="Wingdings"/>
      </w:rPr>
    </w:lvl>
    <w:lvl w:ilvl="3" w:tplc="E6782C8E">
      <w:start w:val="1"/>
      <w:numFmt w:val="bullet"/>
      <w:lvlText w:val=""/>
      <w:lvlJc w:val="left"/>
      <w:pPr>
        <w:ind w:left="3731" w:hanging="359"/>
      </w:pPr>
      <w:rPr>
        <w:rFonts w:ascii="Symbol" w:hAnsi="Symbol"/>
      </w:rPr>
    </w:lvl>
    <w:lvl w:ilvl="4" w:tplc="A18263EC">
      <w:start w:val="1"/>
      <w:numFmt w:val="bullet"/>
      <w:lvlText w:val="o"/>
      <w:lvlJc w:val="left"/>
      <w:pPr>
        <w:ind w:left="4451" w:hanging="359"/>
      </w:pPr>
      <w:rPr>
        <w:rFonts w:ascii="Courier New" w:hAnsi="Courier New"/>
      </w:rPr>
    </w:lvl>
    <w:lvl w:ilvl="5" w:tplc="B1E2D6B0">
      <w:start w:val="1"/>
      <w:numFmt w:val="bullet"/>
      <w:lvlText w:val=""/>
      <w:lvlJc w:val="left"/>
      <w:pPr>
        <w:ind w:left="5171" w:hanging="359"/>
      </w:pPr>
      <w:rPr>
        <w:rFonts w:ascii="Wingdings" w:hAnsi="Wingdings"/>
      </w:rPr>
    </w:lvl>
    <w:lvl w:ilvl="6" w:tplc="D618DCF4">
      <w:start w:val="1"/>
      <w:numFmt w:val="bullet"/>
      <w:lvlText w:val=""/>
      <w:lvlJc w:val="left"/>
      <w:pPr>
        <w:ind w:left="5891" w:hanging="359"/>
      </w:pPr>
      <w:rPr>
        <w:rFonts w:ascii="Symbol" w:hAnsi="Symbol"/>
      </w:rPr>
    </w:lvl>
    <w:lvl w:ilvl="7" w:tplc="0C3A6E9A">
      <w:start w:val="1"/>
      <w:numFmt w:val="bullet"/>
      <w:lvlText w:val="o"/>
      <w:lvlJc w:val="left"/>
      <w:pPr>
        <w:ind w:left="6611" w:hanging="359"/>
      </w:pPr>
      <w:rPr>
        <w:rFonts w:ascii="Courier New" w:hAnsi="Courier New"/>
      </w:rPr>
    </w:lvl>
    <w:lvl w:ilvl="8" w:tplc="9356EE22">
      <w:start w:val="1"/>
      <w:numFmt w:val="bullet"/>
      <w:lvlText w:val=""/>
      <w:lvlJc w:val="left"/>
      <w:pPr>
        <w:ind w:left="7331" w:hanging="359"/>
      </w:pPr>
      <w:rPr>
        <w:rFonts w:ascii="Wingdings" w:hAnsi="Wingdings"/>
      </w:rPr>
    </w:lvl>
  </w:abstractNum>
  <w:abstractNum w:abstractNumId="1" w15:restartNumberingAfterBreak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72"/>
    <w:rsid w:val="000751A0"/>
    <w:rsid w:val="00104672"/>
    <w:rsid w:val="00234A90"/>
    <w:rsid w:val="002D033F"/>
    <w:rsid w:val="003D1303"/>
    <w:rsid w:val="003F7DE2"/>
    <w:rsid w:val="004A7458"/>
    <w:rsid w:val="007E6320"/>
    <w:rsid w:val="008A0AD3"/>
    <w:rsid w:val="008F472D"/>
    <w:rsid w:val="00902485"/>
    <w:rsid w:val="00A46F0D"/>
    <w:rsid w:val="00C14883"/>
    <w:rsid w:val="00C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64F4C-46D7-422E-993C-188E5146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Rienessl Patrik</cp:lastModifiedBy>
  <cp:revision>2</cp:revision>
  <dcterms:created xsi:type="dcterms:W3CDTF">2023-02-06T05:55:00Z</dcterms:created>
  <dcterms:modified xsi:type="dcterms:W3CDTF">2023-02-06T05:55:00Z</dcterms:modified>
</cp:coreProperties>
</file>