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72" w:rsidRDefault="00104672" w:rsidP="00104672">
      <w:pPr>
        <w:pStyle w:val="Nadpis3"/>
        <w:spacing w:after="120"/>
        <w:jc w:val="center"/>
        <w:rPr>
          <w:rFonts w:ascii="Times New Roman" w:hAnsi="Times New Roman"/>
          <w:i/>
          <w:iCs/>
          <w:sz w:val="36"/>
          <w:szCs w:val="36"/>
        </w:rPr>
      </w:pPr>
      <w:r w:rsidRPr="00104672">
        <w:rPr>
          <w:rFonts w:ascii="Times New Roman" w:hAnsi="Times New Roman"/>
          <w:i/>
          <w:iCs/>
          <w:sz w:val="36"/>
          <w:szCs w:val="36"/>
        </w:rPr>
        <w:t>Kontrolní činnost</w:t>
      </w:r>
      <w:r w:rsidR="004A7458">
        <w:rPr>
          <w:rFonts w:ascii="Times New Roman" w:hAnsi="Times New Roman"/>
          <w:i/>
          <w:iCs/>
          <w:sz w:val="36"/>
          <w:szCs w:val="36"/>
        </w:rPr>
        <w:t xml:space="preserve"> – informace o výsledku kontrol</w:t>
      </w:r>
    </w:p>
    <w:p w:rsidR="003D1303" w:rsidRDefault="003D1303" w:rsidP="003D1303">
      <w:pPr>
        <w:pStyle w:val="Mjodstavec"/>
      </w:pPr>
    </w:p>
    <w:p w:rsidR="00902485" w:rsidRDefault="00902485" w:rsidP="00902485">
      <w:pPr>
        <w:pStyle w:val="Nadpis3"/>
        <w:spacing w:after="120"/>
        <w:rPr>
          <w:rFonts w:ascii="Candara" w:hAnsi="Candara"/>
          <w:i/>
          <w:sz w:val="24"/>
          <w:szCs w:val="24"/>
          <w:u w:val="single"/>
        </w:rPr>
      </w:pPr>
      <w:bookmarkStart w:id="0" w:name="_Toc287963461"/>
      <w:r>
        <w:rPr>
          <w:rFonts w:ascii="Candara" w:hAnsi="Candara"/>
          <w:i/>
          <w:sz w:val="24"/>
          <w:szCs w:val="24"/>
          <w:u w:val="single"/>
        </w:rPr>
        <w:t>Kontrolní činnost</w:t>
      </w:r>
    </w:p>
    <w:p w:rsidR="00902485" w:rsidRPr="00D405A2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Kontrolní činnost byla v uplynulém roce zajišťována v souladu s „Plánem kontrol HZS Jihočeského kraje na rok 2021“. Tento plán byl projednán MV - GŘ HZS ČR. V roce 2021 bylo provedeno </w:t>
      </w:r>
      <w:r w:rsidRPr="00D405A2">
        <w:rPr>
          <w:rFonts w:ascii="Candara" w:hAnsi="Candara"/>
          <w:b/>
          <w:i/>
        </w:rPr>
        <w:t>celkem 274 kontrolních úkonů</w:t>
      </w:r>
      <w:r w:rsidRPr="00D405A2">
        <w:rPr>
          <w:rFonts w:ascii="Candara" w:hAnsi="Candara"/>
        </w:rPr>
        <w:t xml:space="preserve"> (komplexní požární kontroly, tematické požární kontroly a kontroly v kontrolní skupině jiného orgánu).</w:t>
      </w:r>
    </w:p>
    <w:p w:rsidR="00902485" w:rsidRDefault="00902485" w:rsidP="00902485">
      <w:pPr>
        <w:pStyle w:val="Seznam2"/>
        <w:tabs>
          <w:tab w:val="left" w:pos="0"/>
          <w:tab w:val="left" w:pos="360"/>
          <w:tab w:val="left" w:pos="540"/>
        </w:tabs>
        <w:ind w:left="0" w:firstLine="0"/>
        <w:jc w:val="both"/>
        <w:rPr>
          <w:rFonts w:ascii="Candara" w:hAnsi="Candara"/>
          <w:b/>
          <w:i/>
          <w:sz w:val="22"/>
        </w:rPr>
      </w:pPr>
      <w:r>
        <w:rPr>
          <w:rFonts w:ascii="Candara" w:hAnsi="Candara"/>
          <w:b/>
          <w:i/>
          <w:sz w:val="22"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902485" w:rsidTr="008F7698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ind w:hanging="1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 xml:space="preserve">Ředitelství HZS </w:t>
            </w:r>
            <w:proofErr w:type="spellStart"/>
            <w:r>
              <w:rPr>
                <w:rFonts w:ascii="Candara" w:hAnsi="Candara"/>
                <w:b/>
                <w:sz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 xml:space="preserve">HZS </w:t>
            </w:r>
            <w:proofErr w:type="spellStart"/>
            <w:r>
              <w:rPr>
                <w:rFonts w:ascii="Candara" w:hAnsi="Candara"/>
                <w:b/>
                <w:sz w:val="22"/>
              </w:rPr>
              <w:t>JčK</w:t>
            </w:r>
            <w:proofErr w:type="spellEnd"/>
            <w:r>
              <w:rPr>
                <w:rFonts w:ascii="Candara" w:hAnsi="Candara"/>
                <w:b/>
                <w:sz w:val="22"/>
              </w:rPr>
              <w:t xml:space="preserve"> územní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  <w:r>
              <w:rPr>
                <w:rFonts w:ascii="Candara" w:hAnsi="Candara"/>
                <w:b/>
                <w:bCs/>
                <w:sz w:val="22"/>
              </w:rPr>
              <w:t xml:space="preserve">Celkem HZS </w:t>
            </w:r>
            <w:proofErr w:type="spellStart"/>
            <w:r>
              <w:rPr>
                <w:rFonts w:ascii="Candara" w:hAnsi="Candara"/>
                <w:b/>
                <w:bCs/>
                <w:sz w:val="22"/>
              </w:rPr>
              <w:t>JčK</w:t>
            </w:r>
            <w:proofErr w:type="spellEnd"/>
          </w:p>
        </w:tc>
      </w:tr>
      <w:tr w:rsidR="00902485" w:rsidTr="008F7698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Cs w:val="20"/>
              </w:rPr>
            </w:pPr>
            <w:r>
              <w:rPr>
                <w:rFonts w:ascii="Candara" w:hAnsi="Candara"/>
                <w:b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</w:p>
        </w:tc>
      </w:tr>
      <w:tr w:rsidR="00902485" w:rsidTr="008F7698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eastAsia="Arial Unicode MS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5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5</w:t>
            </w:r>
          </w:p>
        </w:tc>
        <w:tc>
          <w:tcPr>
            <w:tcW w:w="96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</w:t>
            </w:r>
          </w:p>
        </w:tc>
        <w:tc>
          <w:tcPr>
            <w:tcW w:w="102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</w:t>
            </w:r>
          </w:p>
        </w:tc>
        <w:tc>
          <w:tcPr>
            <w:tcW w:w="90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1386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>
              <w:rPr>
                <w:rFonts w:ascii="Candara" w:hAnsi="Candara"/>
                <w:sz w:val="22"/>
              </w:rPr>
              <w:t>16</w:t>
            </w:r>
          </w:p>
        </w:tc>
      </w:tr>
      <w:tr w:rsidR="00902485" w:rsidTr="008F7698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eastAsia="Arial Unicode MS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30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20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12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16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>
              <w:rPr>
                <w:rFonts w:ascii="Candara" w:hAnsi="Candara"/>
                <w:sz w:val="22"/>
              </w:rPr>
              <w:t>141</w:t>
            </w:r>
          </w:p>
        </w:tc>
      </w:tr>
      <w:tr w:rsidR="00902485" w:rsidTr="008F7698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úkony předcházející kontrole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31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12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17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16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>
              <w:rPr>
                <w:rFonts w:ascii="Candara" w:hAnsi="Candara"/>
                <w:sz w:val="22"/>
              </w:rPr>
              <w:t>77</w:t>
            </w:r>
          </w:p>
        </w:tc>
      </w:tr>
    </w:tbl>
    <w:p w:rsidR="00902485" w:rsidRDefault="00902485" w:rsidP="00902485">
      <w:pPr>
        <w:jc w:val="both"/>
        <w:rPr>
          <w:rFonts w:ascii="Candara" w:hAnsi="Candara"/>
          <w:color w:val="FF0000"/>
        </w:rPr>
      </w:pPr>
      <w:r>
        <w:rPr>
          <w:rFonts w:ascii="Candara" w:hAnsi="Candara"/>
          <w:color w:val="FF0000"/>
        </w:rPr>
        <w:tab/>
      </w:r>
    </w:p>
    <w:p w:rsidR="00902485" w:rsidRPr="00D405A2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Kontrolní činnost byla zaměřena na prověření dodržování povinností stanovených předpisy o požární ochraně ve stanoveném rozsahu u jednotlivých právních subjektů. </w:t>
      </w:r>
    </w:p>
    <w:p w:rsidR="00902485" w:rsidRPr="00D405A2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Tematické požární kontroly byly v roce 2021 zaměřeny např. na kontroly nočních podniků a restauračních zařízení v rámci prevence před podáváním alkoholu osobám mladším 18 let. Dále byly realizovány kontroly zemědělských subjektů a kontroly na podnět. </w:t>
      </w:r>
    </w:p>
    <w:p w:rsidR="00902485" w:rsidRPr="00D405A2" w:rsidRDefault="00902485" w:rsidP="00902485">
      <w:pPr>
        <w:pStyle w:val="Zhlav"/>
        <w:jc w:val="both"/>
        <w:rPr>
          <w:rFonts w:ascii="Candara" w:hAnsi="Candara"/>
          <w:b/>
          <w:szCs w:val="24"/>
        </w:rPr>
      </w:pPr>
      <w:r w:rsidRPr="00D405A2">
        <w:rPr>
          <w:rFonts w:ascii="Candara" w:hAnsi="Candara"/>
          <w:b/>
          <w:szCs w:val="24"/>
        </w:rPr>
        <w:t>Vyhodnocení kontrolní činnosti</w:t>
      </w:r>
    </w:p>
    <w:p w:rsidR="00902485" w:rsidRPr="00D405A2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>V průběhu jednotlivých kontrol byly zjištěny nedostatky, jejichž vyhodnocení je uvedeno v tabulce č. 3 a v níže uvedeném textu.</w:t>
      </w:r>
    </w:p>
    <w:p w:rsidR="00902485" w:rsidRDefault="00902485" w:rsidP="00902485">
      <w:pPr>
        <w:jc w:val="both"/>
        <w:rPr>
          <w:rFonts w:ascii="Candara" w:hAnsi="Candara"/>
          <w:b/>
          <w:i/>
          <w:sz w:val="22"/>
        </w:rPr>
      </w:pPr>
      <w:bookmarkStart w:id="1" w:name="_GoBack"/>
      <w:bookmarkEnd w:id="1"/>
      <w:r>
        <w:rPr>
          <w:rFonts w:ascii="Candara" w:hAnsi="Candara"/>
          <w:b/>
          <w:i/>
          <w:sz w:val="22"/>
        </w:rPr>
        <w:t>Tabulka č. 3: Přehled provedených požárních kontrol bez závad za HZS Jihočeského kraje</w:t>
      </w:r>
    </w:p>
    <w:tbl>
      <w:tblPr>
        <w:tblW w:w="9557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1586"/>
        <w:gridCol w:w="1591"/>
        <w:gridCol w:w="1589"/>
        <w:gridCol w:w="1591"/>
        <w:gridCol w:w="1599"/>
        <w:gridCol w:w="1601"/>
      </w:tblGrid>
      <w:tr w:rsidR="00902485" w:rsidTr="008F7698">
        <w:trPr>
          <w:trHeight w:val="203"/>
          <w:jc w:val="center"/>
        </w:trPr>
        <w:tc>
          <w:tcPr>
            <w:tcW w:w="3177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Počet kontrol</w:t>
            </w:r>
          </w:p>
        </w:tc>
        <w:tc>
          <w:tcPr>
            <w:tcW w:w="3180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Počet kontrol bez závad</w:t>
            </w:r>
          </w:p>
        </w:tc>
        <w:tc>
          <w:tcPr>
            <w:tcW w:w="3200" w:type="dxa"/>
            <w:gridSpan w:val="2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Kontroly bez závad (%)</w:t>
            </w:r>
          </w:p>
        </w:tc>
      </w:tr>
      <w:tr w:rsidR="00902485" w:rsidTr="008F7698">
        <w:trPr>
          <w:trHeight w:val="254"/>
          <w:jc w:val="center"/>
        </w:trPr>
        <w:tc>
          <w:tcPr>
            <w:tcW w:w="1586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59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TK</w:t>
            </w:r>
          </w:p>
        </w:tc>
        <w:tc>
          <w:tcPr>
            <w:tcW w:w="1589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59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TK</w:t>
            </w:r>
          </w:p>
        </w:tc>
        <w:tc>
          <w:tcPr>
            <w:tcW w:w="1599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KK</w:t>
            </w:r>
          </w:p>
        </w:tc>
        <w:tc>
          <w:tcPr>
            <w:tcW w:w="1601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vAlign w:val="center"/>
          </w:tcPr>
          <w:p w:rsidR="00902485" w:rsidRDefault="00902485" w:rsidP="008F7698">
            <w:pPr>
              <w:pStyle w:val="Seznam2"/>
              <w:spacing w:after="120"/>
              <w:ind w:left="36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TK</w:t>
            </w:r>
          </w:p>
        </w:tc>
      </w:tr>
      <w:tr w:rsidR="00902485" w:rsidTr="008F7698">
        <w:trPr>
          <w:trHeight w:val="203"/>
          <w:jc w:val="center"/>
        </w:trPr>
        <w:tc>
          <w:tcPr>
            <w:tcW w:w="1586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16</w:t>
            </w:r>
          </w:p>
        </w:tc>
        <w:tc>
          <w:tcPr>
            <w:tcW w:w="1591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141</w:t>
            </w:r>
          </w:p>
        </w:tc>
        <w:tc>
          <w:tcPr>
            <w:tcW w:w="1589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11</w:t>
            </w:r>
          </w:p>
        </w:tc>
        <w:tc>
          <w:tcPr>
            <w:tcW w:w="1591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86</w:t>
            </w:r>
          </w:p>
        </w:tc>
        <w:tc>
          <w:tcPr>
            <w:tcW w:w="1599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68,8</w:t>
            </w:r>
          </w:p>
        </w:tc>
        <w:tc>
          <w:tcPr>
            <w:tcW w:w="1601" w:type="dxa"/>
            <w:tcBorders>
              <w:top w:val="single" w:sz="12" w:space="0" w:color="000000"/>
            </w:tcBorders>
            <w:vAlign w:val="center"/>
          </w:tcPr>
          <w:p w:rsidR="00902485" w:rsidRPr="00276F2D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276F2D">
              <w:rPr>
                <w:rFonts w:ascii="Candara" w:hAnsi="Candara"/>
                <w:sz w:val="22"/>
              </w:rPr>
              <w:t>61</w:t>
            </w:r>
          </w:p>
        </w:tc>
      </w:tr>
    </w:tbl>
    <w:p w:rsidR="00902485" w:rsidRDefault="00902485" w:rsidP="00902485">
      <w:pPr>
        <w:ind w:firstLine="284"/>
        <w:jc w:val="both"/>
        <w:rPr>
          <w:rFonts w:ascii="Candara" w:hAnsi="Candara"/>
          <w:b/>
          <w:i/>
          <w:iCs/>
        </w:rPr>
      </w:pPr>
    </w:p>
    <w:p w:rsidR="00902485" w:rsidRPr="00D405A2" w:rsidRDefault="00902485" w:rsidP="00902485">
      <w:pPr>
        <w:ind w:firstLine="284"/>
        <w:jc w:val="both"/>
        <w:rPr>
          <w:rFonts w:ascii="Candara" w:hAnsi="Candara"/>
          <w:b/>
          <w:i/>
          <w:iCs/>
        </w:rPr>
      </w:pPr>
      <w:r w:rsidRPr="00D405A2">
        <w:rPr>
          <w:rFonts w:ascii="Candara" w:hAnsi="Candara"/>
          <w:b/>
          <w:i/>
          <w:iCs/>
        </w:rPr>
        <w:t>Nejčastěji zjištěné nedostatky: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 xml:space="preserve">v dokumentaci o začlenění provozované činnosti do kategorie podle míry požárního nebezpečí, 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při prokazování provozuschopnosti instalovaných požárně bezpečnostních zařízení včetně vyhrazených,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při označování pracovišť a dalších míst bezpečnostními značkami,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nepředložení schválené projektové dokumentace v rozsahu požárně bezpečnostních řešení a vydaných kolaudačních rozhodnutí,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lastRenderedPageBreak/>
        <w:t>nedostatečné označení únikových východů a směrů úniku osob,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 xml:space="preserve">nepředložení dokladů o odstranění závad zjištěných při revizi elektrického zařízení budov, 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neprovozuschopné hasicí přístroje, nevhodně umístněné,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zastavěné únikové cesty a východy,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/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>nepřístupné hlavní uzávěry a vypínače médií,</w:t>
      </w:r>
    </w:p>
    <w:p w:rsidR="00902485" w:rsidRPr="00D405A2" w:rsidRDefault="00902485" w:rsidP="00902485">
      <w:pPr>
        <w:pStyle w:val="Mjodstave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left="1134" w:hanging="424"/>
        <w:rPr>
          <w:rFonts w:ascii="Candara" w:hAnsi="Candara"/>
        </w:rPr>
      </w:pPr>
      <w:r w:rsidRPr="00D405A2">
        <w:rPr>
          <w:rFonts w:ascii="Candara" w:hAnsi="Candara"/>
        </w:rPr>
        <w:t xml:space="preserve">nedodržení </w:t>
      </w:r>
      <w:proofErr w:type="spellStart"/>
      <w:r w:rsidRPr="00D405A2">
        <w:rPr>
          <w:rFonts w:ascii="Candara" w:hAnsi="Candara"/>
        </w:rPr>
        <w:t>odstupových</w:t>
      </w:r>
      <w:proofErr w:type="spellEnd"/>
      <w:r w:rsidRPr="00D405A2">
        <w:rPr>
          <w:rFonts w:ascii="Candara" w:hAnsi="Candara"/>
        </w:rPr>
        <w:t xml:space="preserve"> vzdáleností stohů sena (slámy) od komunikací a objektů u zemědělských subjektů.</w:t>
      </w:r>
      <w:bookmarkEnd w:id="0"/>
    </w:p>
    <w:p w:rsidR="00902485" w:rsidRPr="00D405A2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V roce 2021 se HZS Jihočeského kraje vyjadřoval k dokumentacím posouzení požárního nebezpečí. Celkem byla předložena 5 posouzení požárního nebezpečí. </w:t>
      </w:r>
    </w:p>
    <w:p w:rsidR="00902485" w:rsidRDefault="00902485" w:rsidP="00902485">
      <w:pPr>
        <w:pStyle w:val="Mjodstavec"/>
        <w:rPr>
          <w:rFonts w:ascii="Candara" w:hAnsi="Candara"/>
        </w:rPr>
      </w:pPr>
      <w:r w:rsidRPr="00D405A2">
        <w:rPr>
          <w:rFonts w:ascii="Candara" w:hAnsi="Candara"/>
        </w:rPr>
        <w:t xml:space="preserve">V roce 2021 se příslušníci v souladu s platnou legislativou vyjadřovali k dokumentaci zdolávání požárů celkem pro 209 subjektů, které tuto dokumentaci předložily HZS Jihočeského kraje ke schválení. </w:t>
      </w:r>
    </w:p>
    <w:p w:rsidR="00902485" w:rsidRDefault="00902485" w:rsidP="00902485">
      <w:pPr>
        <w:jc w:val="both"/>
        <w:rPr>
          <w:rFonts w:ascii="Candara" w:hAnsi="Candara"/>
          <w:b/>
          <w:i/>
          <w:sz w:val="22"/>
        </w:rPr>
      </w:pPr>
      <w:r>
        <w:rPr>
          <w:rFonts w:ascii="Candara" w:hAnsi="Candara"/>
          <w:b/>
          <w:i/>
          <w:sz w:val="22"/>
        </w:rPr>
        <w:t>Tabulka č. 4: Přehled vyjádření k dokumentaci zdolávání požárů za HZS Jihočeského kraje</w:t>
      </w:r>
    </w:p>
    <w:tbl>
      <w:tblPr>
        <w:tblW w:w="969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7"/>
        <w:gridCol w:w="1344"/>
        <w:gridCol w:w="1232"/>
        <w:gridCol w:w="850"/>
        <w:gridCol w:w="1100"/>
        <w:gridCol w:w="1168"/>
        <w:gridCol w:w="992"/>
        <w:gridCol w:w="1267"/>
      </w:tblGrid>
      <w:tr w:rsidR="00902485" w:rsidTr="008F7698">
        <w:trPr>
          <w:cantSplit/>
          <w:trHeight w:val="327"/>
          <w:jc w:val="center"/>
        </w:trPr>
        <w:tc>
          <w:tcPr>
            <w:tcW w:w="1737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ind w:hanging="10"/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 xml:space="preserve">Ředitelství HZS </w:t>
            </w:r>
            <w:proofErr w:type="spellStart"/>
            <w:r>
              <w:rPr>
                <w:rFonts w:ascii="Candara" w:hAnsi="Candara"/>
                <w:b/>
                <w:sz w:val="22"/>
              </w:rPr>
              <w:t>JčK</w:t>
            </w:r>
            <w:proofErr w:type="spellEnd"/>
          </w:p>
        </w:tc>
        <w:tc>
          <w:tcPr>
            <w:tcW w:w="6686" w:type="dxa"/>
            <w:gridSpan w:val="6"/>
            <w:tcBorders>
              <w:top w:val="single" w:sz="12" w:space="0" w:color="000000"/>
              <w:bottom w:val="single" w:sz="8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 xml:space="preserve">HZS </w:t>
            </w:r>
            <w:proofErr w:type="spellStart"/>
            <w:r>
              <w:rPr>
                <w:rFonts w:ascii="Candara" w:hAnsi="Candara"/>
                <w:b/>
                <w:sz w:val="22"/>
              </w:rPr>
              <w:t>JčK</w:t>
            </w:r>
            <w:proofErr w:type="spellEnd"/>
            <w:r>
              <w:rPr>
                <w:rFonts w:ascii="Candara" w:hAnsi="Candara"/>
                <w:b/>
                <w:sz w:val="22"/>
              </w:rPr>
              <w:t xml:space="preserve"> územní odbor</w:t>
            </w:r>
          </w:p>
        </w:tc>
        <w:tc>
          <w:tcPr>
            <w:tcW w:w="1267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  <w:r>
              <w:rPr>
                <w:rFonts w:ascii="Candara" w:hAnsi="Candara"/>
                <w:b/>
                <w:bCs/>
                <w:sz w:val="22"/>
              </w:rPr>
              <w:t xml:space="preserve">Celkem HZS </w:t>
            </w:r>
            <w:proofErr w:type="spellStart"/>
            <w:r>
              <w:rPr>
                <w:rFonts w:ascii="Candara" w:hAnsi="Candara"/>
                <w:b/>
                <w:bCs/>
                <w:sz w:val="22"/>
              </w:rPr>
              <w:t>JčK</w:t>
            </w:r>
            <w:proofErr w:type="spellEnd"/>
          </w:p>
        </w:tc>
      </w:tr>
      <w:tr w:rsidR="00902485" w:rsidTr="008F7698">
        <w:trPr>
          <w:cantSplit/>
          <w:trHeight w:val="327"/>
          <w:jc w:val="center"/>
        </w:trPr>
        <w:tc>
          <w:tcPr>
            <w:tcW w:w="1737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</w:p>
        </w:tc>
        <w:tc>
          <w:tcPr>
            <w:tcW w:w="1344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Český Krumlov</w:t>
            </w:r>
          </w:p>
        </w:tc>
        <w:tc>
          <w:tcPr>
            <w:tcW w:w="1232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Jindřichův Hradec</w:t>
            </w:r>
          </w:p>
        </w:tc>
        <w:tc>
          <w:tcPr>
            <w:tcW w:w="85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Písek</w:t>
            </w:r>
          </w:p>
        </w:tc>
        <w:tc>
          <w:tcPr>
            <w:tcW w:w="1100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Prachatice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Strakonice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8D4AF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sz w:val="22"/>
              </w:rPr>
            </w:pPr>
            <w:r>
              <w:rPr>
                <w:rFonts w:ascii="Candara" w:hAnsi="Candara"/>
                <w:b/>
                <w:sz w:val="22"/>
              </w:rPr>
              <w:t>Tábor</w:t>
            </w:r>
          </w:p>
        </w:tc>
        <w:tc>
          <w:tcPr>
            <w:tcW w:w="1267" w:type="dxa"/>
            <w:vMerge/>
            <w:tcBorders>
              <w:top w:val="single" w:sz="8" w:space="0" w:color="000000"/>
              <w:bottom w:val="single" w:sz="12" w:space="0" w:color="000000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Default="00902485" w:rsidP="008F7698">
            <w:pPr>
              <w:jc w:val="center"/>
              <w:rPr>
                <w:rFonts w:ascii="Candara" w:hAnsi="Candara"/>
                <w:b/>
                <w:bCs/>
                <w:sz w:val="22"/>
              </w:rPr>
            </w:pPr>
          </w:p>
        </w:tc>
      </w:tr>
      <w:tr w:rsidR="00902485" w:rsidTr="008F7698">
        <w:trPr>
          <w:cantSplit/>
          <w:trHeight w:val="327"/>
          <w:jc w:val="center"/>
        </w:trPr>
        <w:tc>
          <w:tcPr>
            <w:tcW w:w="1737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101</w:t>
            </w:r>
          </w:p>
        </w:tc>
        <w:tc>
          <w:tcPr>
            <w:tcW w:w="1344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20</w:t>
            </w:r>
          </w:p>
        </w:tc>
        <w:tc>
          <w:tcPr>
            <w:tcW w:w="1232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21</w:t>
            </w:r>
          </w:p>
        </w:tc>
        <w:tc>
          <w:tcPr>
            <w:tcW w:w="85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8</w:t>
            </w:r>
          </w:p>
        </w:tc>
        <w:tc>
          <w:tcPr>
            <w:tcW w:w="1100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14</w:t>
            </w:r>
          </w:p>
        </w:tc>
        <w:tc>
          <w:tcPr>
            <w:tcW w:w="1168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14</w:t>
            </w:r>
          </w:p>
        </w:tc>
        <w:tc>
          <w:tcPr>
            <w:tcW w:w="992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31</w:t>
            </w:r>
          </w:p>
        </w:tc>
        <w:tc>
          <w:tcPr>
            <w:tcW w:w="1267" w:type="dxa"/>
            <w:tcBorders>
              <w:top w:val="single" w:sz="12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902485" w:rsidRPr="005C24DC" w:rsidRDefault="00902485" w:rsidP="008F7698">
            <w:pPr>
              <w:jc w:val="center"/>
              <w:rPr>
                <w:rFonts w:ascii="Candara" w:hAnsi="Candara"/>
                <w:sz w:val="22"/>
              </w:rPr>
            </w:pPr>
            <w:r w:rsidRPr="005C24DC">
              <w:rPr>
                <w:rFonts w:ascii="Candara" w:hAnsi="Candara"/>
                <w:sz w:val="22"/>
              </w:rPr>
              <w:t>209</w:t>
            </w:r>
          </w:p>
        </w:tc>
      </w:tr>
    </w:tbl>
    <w:p w:rsidR="00902485" w:rsidRPr="00D405A2" w:rsidRDefault="00902485" w:rsidP="00902485">
      <w:pPr>
        <w:pStyle w:val="Mjodstavec"/>
        <w:spacing w:before="120"/>
        <w:rPr>
          <w:rFonts w:ascii="Candara" w:hAnsi="Candara"/>
        </w:rPr>
      </w:pPr>
      <w:r w:rsidRPr="00D405A2">
        <w:rPr>
          <w:rFonts w:ascii="Candara" w:hAnsi="Candara"/>
        </w:rPr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902485" w:rsidRPr="00D405A2" w:rsidRDefault="00902485" w:rsidP="00902485">
      <w:pPr>
        <w:pStyle w:val="Mjodstavec"/>
        <w:spacing w:before="120"/>
        <w:rPr>
          <w:rFonts w:ascii="Candara" w:hAnsi="Candara"/>
        </w:rPr>
      </w:pPr>
      <w:r w:rsidRPr="00D405A2">
        <w:rPr>
          <w:rFonts w:ascii="Candara" w:hAnsi="Candara"/>
        </w:rPr>
        <w:t>Plnění původního plánu kontrolní činnosti na rok 2021 bylo do značné míry ovlivněno plněním dalších úkolů souvisejících s řešením pandemie COVID-19, kdy byli převážně příslušníci, provádějící kontrolní činnost, pověřeni plněním dalších úkolů souvisejících s touto pandemií v rámci nouzového stavu.</w:t>
      </w:r>
    </w:p>
    <w:p w:rsidR="00902485" w:rsidRDefault="00902485" w:rsidP="008F472D">
      <w:pPr>
        <w:pStyle w:val="Mjodstavec"/>
      </w:pPr>
    </w:p>
    <w:p w:rsidR="00234A90" w:rsidRDefault="00234A90" w:rsidP="00A46F0D">
      <w:pPr>
        <w:pStyle w:val="Mjodstavec"/>
      </w:pPr>
    </w:p>
    <w:p w:rsidR="00C947BB" w:rsidRPr="00EA0ED5" w:rsidRDefault="00C947BB" w:rsidP="00A46F0D">
      <w:pPr>
        <w:pStyle w:val="Mjodstavec"/>
      </w:pPr>
    </w:p>
    <w:p w:rsidR="00C14883" w:rsidRDefault="00C14883" w:rsidP="003D1303">
      <w:pPr>
        <w:pStyle w:val="Mjodstavec"/>
      </w:pPr>
    </w:p>
    <w:p w:rsidR="007E6320" w:rsidRDefault="007E6320" w:rsidP="003D1303"/>
    <w:sectPr w:rsidR="007E6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D78A6"/>
    <w:multiLevelType w:val="hybridMultilevel"/>
    <w:tmpl w:val="70CA5DFC"/>
    <w:lvl w:ilvl="0" w:tplc="1FCC2C7C">
      <w:start w:val="1"/>
      <w:numFmt w:val="bullet"/>
      <w:lvlText w:val=""/>
      <w:lvlJc w:val="left"/>
      <w:pPr>
        <w:ind w:left="1069" w:hanging="359"/>
      </w:pPr>
      <w:rPr>
        <w:rFonts w:ascii="Symbol" w:hAnsi="Symbol"/>
      </w:rPr>
    </w:lvl>
    <w:lvl w:ilvl="1" w:tplc="D644ABB8">
      <w:start w:val="1"/>
      <w:numFmt w:val="bullet"/>
      <w:lvlText w:val="o"/>
      <w:lvlJc w:val="left"/>
      <w:pPr>
        <w:ind w:left="2291" w:hanging="359"/>
      </w:pPr>
      <w:rPr>
        <w:rFonts w:ascii="Courier New" w:hAnsi="Courier New"/>
      </w:rPr>
    </w:lvl>
    <w:lvl w:ilvl="2" w:tplc="2D22FB58">
      <w:start w:val="1"/>
      <w:numFmt w:val="bullet"/>
      <w:lvlText w:val=""/>
      <w:lvlJc w:val="left"/>
      <w:pPr>
        <w:ind w:left="3011" w:hanging="359"/>
      </w:pPr>
      <w:rPr>
        <w:rFonts w:ascii="Wingdings" w:hAnsi="Wingdings"/>
      </w:rPr>
    </w:lvl>
    <w:lvl w:ilvl="3" w:tplc="E6782C8E">
      <w:start w:val="1"/>
      <w:numFmt w:val="bullet"/>
      <w:lvlText w:val=""/>
      <w:lvlJc w:val="left"/>
      <w:pPr>
        <w:ind w:left="3731" w:hanging="359"/>
      </w:pPr>
      <w:rPr>
        <w:rFonts w:ascii="Symbol" w:hAnsi="Symbol"/>
      </w:rPr>
    </w:lvl>
    <w:lvl w:ilvl="4" w:tplc="A18263EC">
      <w:start w:val="1"/>
      <w:numFmt w:val="bullet"/>
      <w:lvlText w:val="o"/>
      <w:lvlJc w:val="left"/>
      <w:pPr>
        <w:ind w:left="4451" w:hanging="359"/>
      </w:pPr>
      <w:rPr>
        <w:rFonts w:ascii="Courier New" w:hAnsi="Courier New"/>
      </w:rPr>
    </w:lvl>
    <w:lvl w:ilvl="5" w:tplc="B1E2D6B0">
      <w:start w:val="1"/>
      <w:numFmt w:val="bullet"/>
      <w:lvlText w:val=""/>
      <w:lvlJc w:val="left"/>
      <w:pPr>
        <w:ind w:left="5171" w:hanging="359"/>
      </w:pPr>
      <w:rPr>
        <w:rFonts w:ascii="Wingdings" w:hAnsi="Wingdings"/>
      </w:rPr>
    </w:lvl>
    <w:lvl w:ilvl="6" w:tplc="D618DCF4">
      <w:start w:val="1"/>
      <w:numFmt w:val="bullet"/>
      <w:lvlText w:val=""/>
      <w:lvlJc w:val="left"/>
      <w:pPr>
        <w:ind w:left="5891" w:hanging="359"/>
      </w:pPr>
      <w:rPr>
        <w:rFonts w:ascii="Symbol" w:hAnsi="Symbol"/>
      </w:rPr>
    </w:lvl>
    <w:lvl w:ilvl="7" w:tplc="0C3A6E9A">
      <w:start w:val="1"/>
      <w:numFmt w:val="bullet"/>
      <w:lvlText w:val="o"/>
      <w:lvlJc w:val="left"/>
      <w:pPr>
        <w:ind w:left="6611" w:hanging="359"/>
      </w:pPr>
      <w:rPr>
        <w:rFonts w:ascii="Courier New" w:hAnsi="Courier New"/>
      </w:rPr>
    </w:lvl>
    <w:lvl w:ilvl="8" w:tplc="9356EE22">
      <w:start w:val="1"/>
      <w:numFmt w:val="bullet"/>
      <w:lvlText w:val=""/>
      <w:lvlJc w:val="left"/>
      <w:pPr>
        <w:ind w:left="7331" w:hanging="359"/>
      </w:pPr>
      <w:rPr>
        <w:rFonts w:ascii="Wingdings" w:hAnsi="Wingdings"/>
      </w:rPr>
    </w:lvl>
  </w:abstractNum>
  <w:abstractNum w:abstractNumId="1" w15:restartNumberingAfterBreak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72"/>
    <w:rsid w:val="000751A0"/>
    <w:rsid w:val="00104672"/>
    <w:rsid w:val="00234A90"/>
    <w:rsid w:val="003D1303"/>
    <w:rsid w:val="003F7DE2"/>
    <w:rsid w:val="004A7458"/>
    <w:rsid w:val="007E6320"/>
    <w:rsid w:val="008A0AD3"/>
    <w:rsid w:val="008F472D"/>
    <w:rsid w:val="00902485"/>
    <w:rsid w:val="00A46F0D"/>
    <w:rsid w:val="00C14883"/>
    <w:rsid w:val="00C9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11BE"/>
  <w15:docId w15:val="{1D864F4C-46D7-422E-993C-188E51461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46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046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04672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04672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0467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04672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0467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04672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10467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3</cp:revision>
  <dcterms:created xsi:type="dcterms:W3CDTF">2022-03-09T14:07:00Z</dcterms:created>
  <dcterms:modified xsi:type="dcterms:W3CDTF">2022-03-09T14:08:00Z</dcterms:modified>
</cp:coreProperties>
</file>