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86" w:rsidRDefault="00EB1586" w:rsidP="00EB1586">
      <w:pPr>
        <w:pStyle w:val="Seznam2"/>
        <w:spacing w:after="120"/>
        <w:ind w:left="0" w:firstLine="0"/>
        <w:jc w:val="center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>Kontrolní činnost</w:t>
      </w:r>
    </w:p>
    <w:p w:rsidR="00EB1586" w:rsidRDefault="00EB1586" w:rsidP="001C367E">
      <w:pPr>
        <w:pStyle w:val="Mjodstavec"/>
      </w:pPr>
    </w:p>
    <w:p w:rsidR="001C367E" w:rsidRPr="00FC048E" w:rsidRDefault="001C367E" w:rsidP="001C367E">
      <w:pPr>
        <w:pStyle w:val="Mjodstavec"/>
      </w:pPr>
      <w:r w:rsidRPr="00FC048E">
        <w:t>Příslušníci HZS J</w:t>
      </w:r>
      <w:r>
        <w:t>ihočeského kraje</w:t>
      </w:r>
      <w:r w:rsidRPr="00FC048E">
        <w:t xml:space="preserve"> provádějící kontrolní činnost plnili v roce 2013 zejména následující úkoly: </w:t>
      </w:r>
    </w:p>
    <w:p w:rsidR="001C367E" w:rsidRPr="00FC048E" w:rsidRDefault="001C367E" w:rsidP="001C367E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výkon státního požárního dozoru formou kontrol dodržování povinností stanovených předpisy o požární ochraně, </w:t>
      </w:r>
    </w:p>
    <w:p w:rsidR="001C367E" w:rsidRPr="00FC048E" w:rsidRDefault="001C367E" w:rsidP="001C367E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zpracování plánu kontrolní činnosti, popř. zpracování stanoviska k návrhům plánů kontrol, </w:t>
      </w:r>
    </w:p>
    <w:p w:rsidR="001C367E" w:rsidRPr="00FC048E" w:rsidRDefault="001C367E" w:rsidP="001C367E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výkon státní správy na úseku prevence závažných havárií, </w:t>
      </w:r>
    </w:p>
    <w:p w:rsidR="001C367E" w:rsidRPr="00FC048E" w:rsidRDefault="001C367E" w:rsidP="001C367E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posuzování bezpečnostní dokumentace zpracovávané a předkládané v rámci prevence závažných havárií způsobených vybranými nebezpečnými chemickými látkami a chemickými přípravky, </w:t>
      </w:r>
    </w:p>
    <w:p w:rsidR="001C367E" w:rsidRPr="00FC048E" w:rsidRDefault="001C367E" w:rsidP="001C367E">
      <w:pPr>
        <w:numPr>
          <w:ilvl w:val="0"/>
          <w:numId w:val="2"/>
        </w:numPr>
        <w:tabs>
          <w:tab w:val="clear" w:pos="567"/>
          <w:tab w:val="num" w:pos="900"/>
        </w:tabs>
        <w:spacing w:after="120"/>
        <w:ind w:left="900" w:hanging="540"/>
        <w:jc w:val="both"/>
      </w:pPr>
      <w:r w:rsidRPr="00FC048E">
        <w:t>schvalování posouzení požárního nebezpečí činností s vysokým požárním nebezpečím.</w:t>
      </w:r>
    </w:p>
    <w:p w:rsidR="001C367E" w:rsidRPr="00FC048E" w:rsidRDefault="001C367E" w:rsidP="001C367E">
      <w:pPr>
        <w:pStyle w:val="Mjodstavec"/>
      </w:pPr>
      <w:r w:rsidRPr="00FC048E">
        <w:t>Kontrolní činnost byla v uplynulém roce zajišťována v souladu s „Plánem kontrol HZS Jihočeského kraje na rok 2013“. Tento plán byl projednán MV - GŘ HZS ČR.  V roce 2013 bylo provedeno celkem 725 požárních kontrol.</w:t>
      </w:r>
    </w:p>
    <w:p w:rsidR="001C367E" w:rsidRPr="00A73C4E" w:rsidRDefault="001C367E" w:rsidP="001C367E">
      <w:pPr>
        <w:jc w:val="both"/>
        <w:rPr>
          <w:color w:val="FF0000"/>
        </w:rPr>
      </w:pPr>
    </w:p>
    <w:p w:rsidR="001C367E" w:rsidRPr="00FC048E" w:rsidRDefault="001C367E" w:rsidP="001C367E">
      <w:pPr>
        <w:jc w:val="both"/>
        <w:rPr>
          <w:b/>
          <w:i/>
        </w:rPr>
      </w:pPr>
      <w:r w:rsidRPr="00FC048E">
        <w:rPr>
          <w:b/>
          <w:i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080"/>
        <w:gridCol w:w="960"/>
        <w:gridCol w:w="960"/>
        <w:gridCol w:w="960"/>
        <w:gridCol w:w="960"/>
        <w:gridCol w:w="1020"/>
        <w:gridCol w:w="900"/>
        <w:gridCol w:w="1386"/>
      </w:tblGrid>
      <w:tr w:rsidR="001C367E" w:rsidRPr="0095799A" w:rsidTr="00CC35D1">
        <w:trPr>
          <w:cantSplit/>
          <w:trHeight w:val="327"/>
          <w:jc w:val="center"/>
        </w:trPr>
        <w:tc>
          <w:tcPr>
            <w:tcW w:w="1271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Požární kontrola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95799A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76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 xml:space="preserve">HZS </w:t>
            </w:r>
            <w:proofErr w:type="spellStart"/>
            <w:r w:rsidRPr="0095799A">
              <w:rPr>
                <w:b/>
                <w:sz w:val="22"/>
                <w:szCs w:val="22"/>
              </w:rPr>
              <w:t>JčK</w:t>
            </w:r>
            <w:proofErr w:type="spellEnd"/>
            <w:r w:rsidRPr="0095799A">
              <w:rPr>
                <w:b/>
                <w:sz w:val="22"/>
                <w:szCs w:val="22"/>
              </w:rPr>
              <w:t xml:space="preserve"> územní odbor</w:t>
            </w:r>
          </w:p>
        </w:tc>
        <w:tc>
          <w:tcPr>
            <w:tcW w:w="138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bCs/>
                <w:sz w:val="22"/>
                <w:szCs w:val="22"/>
              </w:rPr>
            </w:pPr>
            <w:r w:rsidRPr="0095799A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95799A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1C367E" w:rsidRPr="0095799A" w:rsidTr="00CC35D1">
        <w:trPr>
          <w:cantSplit/>
          <w:trHeight w:val="327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0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8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C367E" w:rsidRPr="0095799A" w:rsidTr="00CC35D1">
        <w:trPr>
          <w:cantSplit/>
          <w:trHeight w:val="327"/>
          <w:jc w:val="center"/>
        </w:trPr>
        <w:tc>
          <w:tcPr>
            <w:tcW w:w="1271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komplexní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10</w:t>
            </w:r>
          </w:p>
        </w:tc>
        <w:tc>
          <w:tcPr>
            <w:tcW w:w="138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FA7FF2" w:rsidRDefault="001C367E" w:rsidP="00CC35D1">
            <w:pPr>
              <w:jc w:val="center"/>
              <w:rPr>
                <w:sz w:val="22"/>
                <w:szCs w:val="22"/>
              </w:rPr>
            </w:pPr>
            <w:r w:rsidRPr="00FA7FF2">
              <w:rPr>
                <w:sz w:val="22"/>
                <w:szCs w:val="22"/>
              </w:rPr>
              <w:t>68</w:t>
            </w:r>
          </w:p>
        </w:tc>
      </w:tr>
      <w:tr w:rsidR="001C367E" w:rsidRPr="0095799A" w:rsidTr="00CC35D1">
        <w:trPr>
          <w:cantSplit/>
          <w:trHeight w:val="327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tematické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53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58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49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67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65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51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71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FA7FF2" w:rsidRDefault="001C367E" w:rsidP="00CC35D1">
            <w:pPr>
              <w:jc w:val="center"/>
              <w:rPr>
                <w:sz w:val="22"/>
                <w:szCs w:val="22"/>
              </w:rPr>
            </w:pPr>
            <w:r w:rsidRPr="00FA7FF2">
              <w:rPr>
                <w:sz w:val="22"/>
                <w:szCs w:val="22"/>
              </w:rPr>
              <w:t>414</w:t>
            </w:r>
          </w:p>
        </w:tc>
      </w:tr>
      <w:tr w:rsidR="001C367E" w:rsidRPr="0095799A" w:rsidTr="00CC35D1">
        <w:trPr>
          <w:cantSplit/>
          <w:trHeight w:val="498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kontrolní</w:t>
            </w:r>
          </w:p>
          <w:p w:rsidR="001C367E" w:rsidRPr="0095799A" w:rsidRDefault="001C367E" w:rsidP="00CC35D1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dohlídka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33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46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24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36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37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43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95799A" w:rsidRDefault="001C367E" w:rsidP="00CC35D1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24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C367E" w:rsidRPr="00FA7FF2" w:rsidRDefault="001C367E" w:rsidP="00CC35D1">
            <w:pPr>
              <w:jc w:val="center"/>
              <w:rPr>
                <w:sz w:val="22"/>
                <w:szCs w:val="22"/>
              </w:rPr>
            </w:pPr>
            <w:r w:rsidRPr="00FA7FF2">
              <w:rPr>
                <w:sz w:val="22"/>
                <w:szCs w:val="22"/>
              </w:rPr>
              <w:t>243</w:t>
            </w:r>
          </w:p>
        </w:tc>
      </w:tr>
    </w:tbl>
    <w:p w:rsidR="001C367E" w:rsidRPr="00A73C4E" w:rsidRDefault="001C367E" w:rsidP="001C367E">
      <w:pPr>
        <w:jc w:val="both"/>
        <w:rPr>
          <w:color w:val="FF0000"/>
        </w:rPr>
      </w:pPr>
      <w:r w:rsidRPr="00A73C4E">
        <w:rPr>
          <w:color w:val="FF0000"/>
        </w:rPr>
        <w:tab/>
      </w:r>
    </w:p>
    <w:p w:rsidR="001C367E" w:rsidRPr="0095799A" w:rsidRDefault="001C367E" w:rsidP="001C367E">
      <w:pPr>
        <w:pStyle w:val="Mjodstavec"/>
      </w:pPr>
      <w:r w:rsidRPr="0095799A">
        <w:t xml:space="preserve">Kontrolní činnost byla zaměřena na prověření dodržování povinností stanovených předpisy o požární ochraně ve stanoveném rozsahu u jednotlivých právních subjektů. </w:t>
      </w:r>
    </w:p>
    <w:p w:rsidR="001C367E" w:rsidRPr="006416E7" w:rsidRDefault="001C367E" w:rsidP="001C367E">
      <w:pPr>
        <w:pStyle w:val="Mjodstavec"/>
      </w:pPr>
      <w:r w:rsidRPr="006416E7">
        <w:t xml:space="preserve">Tematické požární kontroly byly v roce 2013 zaměřeny na obchodní řetězce, zdravotnická zařízení, školy, subjekty, které zpracovávají dokumentaci zdolávání požáru a na zemědělské subjekty. </w:t>
      </w:r>
    </w:p>
    <w:p w:rsidR="001C367E" w:rsidRPr="0095799A" w:rsidRDefault="001C367E" w:rsidP="001C367E">
      <w:pPr>
        <w:ind w:firstLine="284"/>
        <w:jc w:val="both"/>
        <w:rPr>
          <w:b/>
          <w:i/>
          <w:iCs/>
        </w:rPr>
      </w:pPr>
      <w:r w:rsidRPr="0095799A">
        <w:rPr>
          <w:b/>
          <w:i/>
          <w:iCs/>
        </w:rPr>
        <w:t>Vyhodnocení kontrolní činnosti:</w:t>
      </w:r>
    </w:p>
    <w:p w:rsidR="001C367E" w:rsidRPr="0095799A" w:rsidRDefault="001C367E" w:rsidP="001C367E">
      <w:pPr>
        <w:pStyle w:val="Mjodstavec"/>
      </w:pPr>
      <w:r w:rsidRPr="0095799A">
        <w:t>V průběhu jednotlivých kontrol byly zjištěny závady, ke kterým byla uložena opatření s lhůtami na odstranění závad. </w:t>
      </w:r>
    </w:p>
    <w:p w:rsidR="001C367E" w:rsidRPr="0095799A" w:rsidRDefault="001C367E" w:rsidP="001C367E">
      <w:pPr>
        <w:jc w:val="both"/>
      </w:pPr>
    </w:p>
    <w:p w:rsidR="001C367E" w:rsidRPr="0095799A" w:rsidRDefault="001C367E" w:rsidP="001C367E">
      <w:pPr>
        <w:jc w:val="both"/>
        <w:rPr>
          <w:b/>
          <w:i/>
        </w:rPr>
      </w:pPr>
      <w:r w:rsidRPr="0095799A">
        <w:rPr>
          <w:b/>
          <w:i/>
        </w:rPr>
        <w:t>Tabulka č. 3: Přehled provedených požárních kontrol bez závad za HZS Jihočeského kraje</w:t>
      </w:r>
    </w:p>
    <w:tbl>
      <w:tblPr>
        <w:tblW w:w="94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50"/>
        <w:gridCol w:w="1051"/>
        <w:gridCol w:w="1052"/>
        <w:gridCol w:w="1051"/>
        <w:gridCol w:w="1052"/>
        <w:gridCol w:w="1053"/>
        <w:gridCol w:w="1053"/>
        <w:gridCol w:w="1053"/>
        <w:gridCol w:w="1065"/>
      </w:tblGrid>
      <w:tr w:rsidR="001C367E" w:rsidRPr="00A73C4E" w:rsidTr="00CC35D1">
        <w:trPr>
          <w:trHeight w:val="163"/>
          <w:jc w:val="center"/>
        </w:trPr>
        <w:tc>
          <w:tcPr>
            <w:tcW w:w="3153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Počet kontrol</w:t>
            </w:r>
          </w:p>
        </w:tc>
        <w:tc>
          <w:tcPr>
            <w:tcW w:w="3156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Počet kontrol bez závad</w:t>
            </w:r>
          </w:p>
        </w:tc>
        <w:tc>
          <w:tcPr>
            <w:tcW w:w="3171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%</w:t>
            </w:r>
          </w:p>
        </w:tc>
      </w:tr>
      <w:tr w:rsidR="001C367E" w:rsidRPr="00A73C4E" w:rsidTr="00CC35D1">
        <w:trPr>
          <w:trHeight w:val="204"/>
          <w:jc w:val="center"/>
        </w:trPr>
        <w:tc>
          <w:tcPr>
            <w:tcW w:w="105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KK</w:t>
            </w:r>
          </w:p>
        </w:tc>
        <w:tc>
          <w:tcPr>
            <w:tcW w:w="10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TK</w:t>
            </w:r>
          </w:p>
        </w:tc>
        <w:tc>
          <w:tcPr>
            <w:tcW w:w="105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KD</w:t>
            </w:r>
          </w:p>
        </w:tc>
        <w:tc>
          <w:tcPr>
            <w:tcW w:w="10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KK</w:t>
            </w:r>
          </w:p>
        </w:tc>
        <w:tc>
          <w:tcPr>
            <w:tcW w:w="105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TK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KD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KK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TK</w:t>
            </w:r>
          </w:p>
        </w:tc>
        <w:tc>
          <w:tcPr>
            <w:tcW w:w="10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KD</w:t>
            </w:r>
          </w:p>
        </w:tc>
      </w:tr>
      <w:tr w:rsidR="001C367E" w:rsidRPr="00A73C4E" w:rsidTr="00CC35D1">
        <w:trPr>
          <w:trHeight w:val="163"/>
          <w:jc w:val="center"/>
        </w:trPr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</w:pPr>
            <w:r w:rsidRPr="0095799A">
              <w:t>68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</w:pPr>
            <w:r w:rsidRPr="0095799A">
              <w:t>414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</w:pPr>
            <w:r w:rsidRPr="0095799A">
              <w:t>243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</w:pPr>
            <w:r w:rsidRPr="0095799A">
              <w:t>16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</w:pPr>
            <w:r w:rsidRPr="0095799A">
              <w:t>140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</w:pPr>
            <w:r w:rsidRPr="0095799A">
              <w:t>241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</w:pPr>
            <w:r w:rsidRPr="0095799A">
              <w:t>23,5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</w:pPr>
            <w:r w:rsidRPr="0095799A">
              <w:t>33,8</w:t>
            </w:r>
          </w:p>
        </w:tc>
        <w:tc>
          <w:tcPr>
            <w:tcW w:w="1065" w:type="dxa"/>
            <w:tcBorders>
              <w:top w:val="single" w:sz="12" w:space="0" w:color="auto"/>
            </w:tcBorders>
            <w:vAlign w:val="center"/>
          </w:tcPr>
          <w:p w:rsidR="001C367E" w:rsidRPr="0095799A" w:rsidRDefault="001C367E" w:rsidP="00CC35D1">
            <w:pPr>
              <w:pStyle w:val="Seznam2"/>
              <w:spacing w:after="120"/>
              <w:ind w:left="360"/>
              <w:jc w:val="center"/>
            </w:pPr>
            <w:r w:rsidRPr="0095799A">
              <w:t>99,1</w:t>
            </w:r>
          </w:p>
        </w:tc>
      </w:tr>
    </w:tbl>
    <w:p w:rsidR="001C367E" w:rsidRPr="00A73C4E" w:rsidRDefault="001C367E" w:rsidP="001C367E">
      <w:pPr>
        <w:jc w:val="both"/>
        <w:rPr>
          <w:color w:val="FF0000"/>
        </w:rPr>
      </w:pPr>
    </w:p>
    <w:p w:rsidR="00EB1586" w:rsidRDefault="00EB1586" w:rsidP="001C367E">
      <w:pPr>
        <w:jc w:val="both"/>
        <w:rPr>
          <w:b/>
          <w:i/>
        </w:rPr>
      </w:pPr>
    </w:p>
    <w:p w:rsidR="00EB1586" w:rsidRDefault="00EB1586" w:rsidP="001C367E">
      <w:pPr>
        <w:jc w:val="both"/>
        <w:rPr>
          <w:b/>
          <w:i/>
        </w:rPr>
      </w:pPr>
    </w:p>
    <w:p w:rsidR="001C367E" w:rsidRPr="00161C86" w:rsidRDefault="001C367E" w:rsidP="001C367E">
      <w:pPr>
        <w:jc w:val="both"/>
        <w:rPr>
          <w:b/>
          <w:i/>
        </w:rPr>
      </w:pPr>
      <w:bookmarkStart w:id="0" w:name="_GoBack"/>
      <w:bookmarkEnd w:id="0"/>
      <w:r>
        <w:rPr>
          <w:b/>
          <w:i/>
        </w:rPr>
        <w:lastRenderedPageBreak/>
        <w:t>Nejčastěji zjištěné nedostatky</w:t>
      </w:r>
      <w:r w:rsidRPr="00161C86">
        <w:rPr>
          <w:b/>
          <w:i/>
        </w:rPr>
        <w:t>:</w:t>
      </w:r>
    </w:p>
    <w:p w:rsidR="001C367E" w:rsidRPr="00161C86" w:rsidRDefault="001C367E" w:rsidP="001C367E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161C86">
        <w:t>při prokazování provozuschopnosti instalovaných požárně bezpečnostních zařízení včetně vyhrazených,</w:t>
      </w:r>
    </w:p>
    <w:p w:rsidR="001C367E" w:rsidRPr="00161C86" w:rsidRDefault="001C367E" w:rsidP="001C367E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161C86">
        <w:t>při označování pracovišť a dalších míst bezpečnostními značkami,</w:t>
      </w:r>
    </w:p>
    <w:p w:rsidR="001C367E" w:rsidRPr="00161C86" w:rsidRDefault="001C367E" w:rsidP="001C367E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161C86">
        <w:t>nepředložení schválené projektové dokumentace v rozsahu požárně bezpečnostních řešení a vydaných kolaudačních rozhodnutí,</w:t>
      </w:r>
    </w:p>
    <w:p w:rsidR="001C367E" w:rsidRPr="00161C86" w:rsidRDefault="001C367E" w:rsidP="001C367E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161C86">
        <w:t>nedostatečné označení únikových východů a směrů úniku osob,</w:t>
      </w:r>
    </w:p>
    <w:p w:rsidR="001C367E" w:rsidRPr="00161C86" w:rsidRDefault="001C367E" w:rsidP="001C367E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161C86">
        <w:t>nepředložení dokladů o odstranění</w:t>
      </w:r>
      <w:r>
        <w:t xml:space="preserve"> závad zjištěných při revizi elektrického</w:t>
      </w:r>
      <w:r w:rsidRPr="00161C86">
        <w:t xml:space="preserve"> zař</w:t>
      </w:r>
      <w:r>
        <w:t>ízení budov</w:t>
      </w:r>
      <w:r w:rsidRPr="00161C86">
        <w:t xml:space="preserve">, </w:t>
      </w:r>
    </w:p>
    <w:p w:rsidR="001C367E" w:rsidRPr="00161C86" w:rsidRDefault="001C367E" w:rsidP="001C367E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161C86">
        <w:t xml:space="preserve">nedodržení </w:t>
      </w:r>
      <w:proofErr w:type="spellStart"/>
      <w:r w:rsidRPr="00161C86">
        <w:t>odstupových</w:t>
      </w:r>
      <w:proofErr w:type="spellEnd"/>
      <w:r w:rsidRPr="00161C86">
        <w:t xml:space="preserve"> vzdáleností stohů sena (slámy) od komunikací a objektů u zemědělských subjektů, </w:t>
      </w:r>
    </w:p>
    <w:p w:rsidR="001C367E" w:rsidRPr="00A73C4E" w:rsidRDefault="001C367E" w:rsidP="001C367E">
      <w:pPr>
        <w:pStyle w:val="Zkladntextodsazen"/>
        <w:spacing w:after="0"/>
        <w:ind w:left="0"/>
        <w:jc w:val="both"/>
        <w:rPr>
          <w:color w:val="FF0000"/>
        </w:rPr>
      </w:pPr>
    </w:p>
    <w:p w:rsidR="001C367E" w:rsidRDefault="001C367E" w:rsidP="001C367E">
      <w:pPr>
        <w:pStyle w:val="Mjodstavec"/>
      </w:pPr>
      <w:r>
        <w:t>Z hlediska prevence závažných havárií bylo provedeno 9 požárních kontrol právních subjektů zařazených dle zákona č. 59/2006 Sb., o prevenci závažných havárií. Tyto kontroly byly provedeny ve spolupráci s  Českou inspekcí životního prostředí.  Kontroly vyplývající ze zákona o prevenci závažných havárií byly prováděny v souladu s „Plánem kontrol České inspekce životního prostředí na rok 2013“. Při kontrolách na úseku požární ochrany bylo zjištěno, že nejsou dodržovány povinnosti stanovené předpisy o požární ochraně, jako např. obsahové chyby v dokumentaci požární ochrany, nepředložení dokladu provozuschopnosti požárně bezpečnostních zařízení a neoznačení míst příslušnými bezpečnostními značkami, nepředložení schválené projektové dokumentace v rozsahu požárně bezpečnostních řešení a vydaných kolaudačních rozhodnutí, předložení neúplné dokumentace zdolávání požáru, neplnění opatření a lhůt vyplývající  ze schváleného posouzení požárního  nebezpečí.</w:t>
      </w:r>
    </w:p>
    <w:p w:rsidR="001C367E" w:rsidRDefault="001C367E" w:rsidP="001C367E">
      <w:pPr>
        <w:pStyle w:val="Mjodstavec"/>
      </w:pPr>
      <w:r>
        <w:t xml:space="preserve">Na území Jihočeského kraje </w:t>
      </w:r>
      <w:r w:rsidRPr="00E70199">
        <w:t>provozuje 12 právních subjektů činnosti</w:t>
      </w:r>
      <w:r>
        <w:t xml:space="preserve"> s vysokým požárním nebezpečím. V souvislosti s touto skutečností se HZS Jihočeského kraje vyjadřoval k dokumentaci posouzení požárního nebezpečí. Celkem byly předloženy tři posouzení požárního nebezpečí, tři posouzení požárního nebezpečí byly schváleny a jedno posouzení požárního nebezpečí bylo vráceno k odstranění zjištěných nedostatků a doplnění předložených dokumentů. </w:t>
      </w:r>
    </w:p>
    <w:p w:rsidR="001C367E" w:rsidRPr="006416E7" w:rsidRDefault="001C367E" w:rsidP="001C367E">
      <w:pPr>
        <w:pStyle w:val="Mjodstavec"/>
      </w:pPr>
      <w:r w:rsidRPr="006416E7"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p w:rsidR="00023DC6" w:rsidRDefault="00023DC6"/>
    <w:sectPr w:rsidR="00023D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7E"/>
    <w:rsid w:val="00023DC6"/>
    <w:rsid w:val="001C367E"/>
    <w:rsid w:val="00EB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3FAC5-E9DC-4314-91AB-84073E4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3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C367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C367E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C367E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C367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C367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C367E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1C367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link w:val="Seznam2"/>
    <w:rsid w:val="001C367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2014-10-03T11:05:00Z</dcterms:created>
  <dcterms:modified xsi:type="dcterms:W3CDTF">2014-10-07T12:26:00Z</dcterms:modified>
</cp:coreProperties>
</file>