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7C0" w:rsidRDefault="00DC77C0" w:rsidP="00DC77C0">
      <w:pPr>
        <w:pStyle w:val="Seznam2"/>
        <w:spacing w:after="120"/>
        <w:ind w:left="0" w:firstLine="0"/>
        <w:jc w:val="center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>Kontrolní činnost</w:t>
      </w:r>
    </w:p>
    <w:p w:rsidR="00DC77C0" w:rsidRDefault="00DC77C0" w:rsidP="00196EE0">
      <w:pPr>
        <w:pStyle w:val="Mjodstavec"/>
      </w:pPr>
    </w:p>
    <w:p w:rsidR="00196EE0" w:rsidRPr="005C04FA" w:rsidRDefault="00196EE0" w:rsidP="00196EE0">
      <w:pPr>
        <w:pStyle w:val="Mjodstavec"/>
      </w:pPr>
      <w:r>
        <w:t xml:space="preserve">Příslušníci HZS </w:t>
      </w:r>
      <w:proofErr w:type="spellStart"/>
      <w:r>
        <w:t>JčK</w:t>
      </w:r>
      <w:proofErr w:type="spellEnd"/>
      <w:r>
        <w:t xml:space="preserve"> provádějící kontrolní činnost</w:t>
      </w:r>
      <w:r w:rsidRPr="005C04FA">
        <w:t xml:space="preserve"> </w:t>
      </w:r>
      <w:r>
        <w:t>plnili</w:t>
      </w:r>
      <w:r w:rsidRPr="005C04FA">
        <w:t xml:space="preserve"> v roce 2012 zejména následující úkoly: </w:t>
      </w:r>
    </w:p>
    <w:p w:rsidR="00196EE0" w:rsidRPr="005C04FA" w:rsidRDefault="00196EE0" w:rsidP="00196EE0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5C04FA">
        <w:t xml:space="preserve">výkon státního požárního dozoru formou kontrol dodržování povinností stanovených předpisy o požární ochraně, </w:t>
      </w:r>
    </w:p>
    <w:p w:rsidR="00196EE0" w:rsidRPr="005C04FA" w:rsidRDefault="00196EE0" w:rsidP="00196EE0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5C04FA">
        <w:t xml:space="preserve">zpracování plánu kontrolní činnosti, popř. zpracování stanoviska k návrhům plánů kontrol, </w:t>
      </w:r>
    </w:p>
    <w:p w:rsidR="00196EE0" w:rsidRPr="005C04FA" w:rsidRDefault="00196EE0" w:rsidP="00196EE0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5C04FA">
        <w:t xml:space="preserve">výkon státní správy na úseku prevence závažných havárií, </w:t>
      </w:r>
    </w:p>
    <w:p w:rsidR="00196EE0" w:rsidRPr="005C04FA" w:rsidRDefault="00196EE0" w:rsidP="00196EE0">
      <w:pPr>
        <w:numPr>
          <w:ilvl w:val="0"/>
          <w:numId w:val="2"/>
        </w:numPr>
        <w:tabs>
          <w:tab w:val="clear" w:pos="567"/>
          <w:tab w:val="num" w:pos="900"/>
        </w:tabs>
        <w:ind w:left="900" w:hanging="540"/>
        <w:jc w:val="both"/>
      </w:pPr>
      <w:r w:rsidRPr="005C04FA">
        <w:t xml:space="preserve">posuzování bezpečnostní dokumentace zpracovávané a předkládané v rámci prevence závažných havárií způsobených vybranými nebezpečnými chemickými látkami a chemickými přípravky, </w:t>
      </w:r>
    </w:p>
    <w:p w:rsidR="00196EE0" w:rsidRPr="005C04FA" w:rsidRDefault="00196EE0" w:rsidP="00196EE0">
      <w:pPr>
        <w:numPr>
          <w:ilvl w:val="0"/>
          <w:numId w:val="2"/>
        </w:numPr>
        <w:tabs>
          <w:tab w:val="clear" w:pos="567"/>
          <w:tab w:val="num" w:pos="900"/>
        </w:tabs>
        <w:spacing w:after="120"/>
        <w:ind w:left="900" w:hanging="540"/>
        <w:jc w:val="both"/>
      </w:pPr>
      <w:r w:rsidRPr="005C04FA">
        <w:t>schvalování posouzení požárního nebezpečí činností s vysokým požárním nebezpečím.</w:t>
      </w:r>
    </w:p>
    <w:p w:rsidR="00196EE0" w:rsidRPr="00DE2D6A" w:rsidRDefault="00196EE0" w:rsidP="00196EE0">
      <w:pPr>
        <w:pStyle w:val="Mjodstavec"/>
      </w:pPr>
      <w:r w:rsidRPr="00DE2D6A">
        <w:t>Kontrolní činnost byla v uplynulém roce zajišťována v souladu s „Plánem kontrol HZS Jihočeského kraje na rok 2012“. Tento plán byl projednán MV - GŘ HZS ČR.  V roce 2012 bylo provedeno cel</w:t>
      </w:r>
      <w:r>
        <w:t>kem 936</w:t>
      </w:r>
      <w:r w:rsidRPr="00D1629E">
        <w:t xml:space="preserve"> požárních kontrol.</w:t>
      </w:r>
    </w:p>
    <w:p w:rsidR="00196EE0" w:rsidRPr="00DE2D6A" w:rsidRDefault="00196EE0" w:rsidP="00196EE0">
      <w:pPr>
        <w:jc w:val="both"/>
      </w:pPr>
    </w:p>
    <w:p w:rsidR="00196EE0" w:rsidRPr="00DE2D6A" w:rsidRDefault="00196EE0" w:rsidP="00196EE0">
      <w:pPr>
        <w:jc w:val="both"/>
        <w:rPr>
          <w:b/>
          <w:i/>
        </w:rPr>
      </w:pPr>
      <w:r w:rsidRPr="00DE2D6A">
        <w:rPr>
          <w:b/>
          <w:i/>
        </w:rPr>
        <w:t>Tabulka č. 2: Přehled provedených požárních kontrol u právnických osob a podnikajících fyzických osob</w:t>
      </w:r>
    </w:p>
    <w:tbl>
      <w:tblPr>
        <w:tblW w:w="949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080"/>
        <w:gridCol w:w="960"/>
        <w:gridCol w:w="960"/>
        <w:gridCol w:w="960"/>
        <w:gridCol w:w="960"/>
        <w:gridCol w:w="1020"/>
        <w:gridCol w:w="900"/>
        <w:gridCol w:w="1386"/>
      </w:tblGrid>
      <w:tr w:rsidR="00196EE0" w:rsidRPr="00DE2D6A" w:rsidTr="001D2267">
        <w:trPr>
          <w:cantSplit/>
          <w:trHeight w:val="327"/>
          <w:jc w:val="center"/>
        </w:trPr>
        <w:tc>
          <w:tcPr>
            <w:tcW w:w="1271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b/>
                <w:sz w:val="22"/>
                <w:szCs w:val="22"/>
              </w:rPr>
            </w:pPr>
            <w:r w:rsidRPr="00DE2D6A">
              <w:rPr>
                <w:b/>
                <w:sz w:val="22"/>
                <w:szCs w:val="22"/>
              </w:rPr>
              <w:t>Požární kontrola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ind w:hanging="11"/>
              <w:jc w:val="center"/>
              <w:rPr>
                <w:b/>
                <w:sz w:val="22"/>
                <w:szCs w:val="22"/>
              </w:rPr>
            </w:pPr>
            <w:r w:rsidRPr="00DE2D6A">
              <w:rPr>
                <w:b/>
                <w:sz w:val="22"/>
                <w:szCs w:val="22"/>
              </w:rPr>
              <w:t xml:space="preserve">Ředitelství HZS </w:t>
            </w:r>
            <w:proofErr w:type="spellStart"/>
            <w:r w:rsidRPr="00DE2D6A">
              <w:rPr>
                <w:b/>
                <w:sz w:val="22"/>
                <w:szCs w:val="22"/>
              </w:rPr>
              <w:t>JčK</w:t>
            </w:r>
            <w:proofErr w:type="spellEnd"/>
          </w:p>
        </w:tc>
        <w:tc>
          <w:tcPr>
            <w:tcW w:w="5760" w:type="dxa"/>
            <w:gridSpan w:val="6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HZS </w:t>
            </w:r>
            <w:proofErr w:type="spellStart"/>
            <w:r>
              <w:rPr>
                <w:b/>
                <w:sz w:val="22"/>
                <w:szCs w:val="22"/>
              </w:rPr>
              <w:t>JčK</w:t>
            </w:r>
            <w:proofErr w:type="spellEnd"/>
            <w:r>
              <w:rPr>
                <w:b/>
                <w:sz w:val="22"/>
                <w:szCs w:val="22"/>
              </w:rPr>
              <w:t xml:space="preserve"> ú</w:t>
            </w:r>
            <w:r w:rsidRPr="00DE2D6A">
              <w:rPr>
                <w:b/>
                <w:sz w:val="22"/>
                <w:szCs w:val="22"/>
              </w:rPr>
              <w:t>zemní odbor</w:t>
            </w:r>
          </w:p>
        </w:tc>
        <w:tc>
          <w:tcPr>
            <w:tcW w:w="1386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b/>
                <w:bCs/>
                <w:sz w:val="22"/>
                <w:szCs w:val="22"/>
              </w:rPr>
            </w:pPr>
            <w:r w:rsidRPr="00DE2D6A">
              <w:rPr>
                <w:b/>
                <w:bCs/>
                <w:sz w:val="22"/>
                <w:szCs w:val="22"/>
              </w:rPr>
              <w:t xml:space="preserve">Celkem HZS </w:t>
            </w:r>
            <w:proofErr w:type="spellStart"/>
            <w:r w:rsidRPr="00DE2D6A">
              <w:rPr>
                <w:b/>
                <w:bCs/>
                <w:sz w:val="22"/>
                <w:szCs w:val="22"/>
              </w:rPr>
              <w:t>JčK</w:t>
            </w:r>
            <w:proofErr w:type="spellEnd"/>
          </w:p>
        </w:tc>
      </w:tr>
      <w:tr w:rsidR="00196EE0" w:rsidRPr="00DE2D6A" w:rsidTr="001D2267">
        <w:trPr>
          <w:cantSplit/>
          <w:trHeight w:val="327"/>
          <w:jc w:val="center"/>
        </w:trPr>
        <w:tc>
          <w:tcPr>
            <w:tcW w:w="1271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b/>
                <w:sz w:val="20"/>
                <w:szCs w:val="20"/>
              </w:rPr>
            </w:pPr>
            <w:r w:rsidRPr="00DE2D6A">
              <w:rPr>
                <w:b/>
                <w:sz w:val="20"/>
                <w:szCs w:val="20"/>
              </w:rPr>
              <w:t>Český Krumlov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b/>
                <w:sz w:val="20"/>
                <w:szCs w:val="20"/>
              </w:rPr>
            </w:pPr>
            <w:r w:rsidRPr="00DE2D6A">
              <w:rPr>
                <w:b/>
                <w:sz w:val="20"/>
                <w:szCs w:val="20"/>
              </w:rPr>
              <w:t>Jindřichův Hradec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b/>
                <w:sz w:val="20"/>
                <w:szCs w:val="20"/>
              </w:rPr>
            </w:pPr>
            <w:r w:rsidRPr="00DE2D6A">
              <w:rPr>
                <w:b/>
                <w:sz w:val="20"/>
                <w:szCs w:val="20"/>
              </w:rPr>
              <w:t>Písek</w:t>
            </w:r>
          </w:p>
        </w:tc>
        <w:tc>
          <w:tcPr>
            <w:tcW w:w="96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b/>
                <w:sz w:val="20"/>
                <w:szCs w:val="20"/>
              </w:rPr>
            </w:pPr>
            <w:r w:rsidRPr="00DE2D6A">
              <w:rPr>
                <w:b/>
                <w:sz w:val="20"/>
                <w:szCs w:val="20"/>
              </w:rPr>
              <w:t>Prachatice</w:t>
            </w:r>
          </w:p>
        </w:tc>
        <w:tc>
          <w:tcPr>
            <w:tcW w:w="102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b/>
                <w:sz w:val="20"/>
                <w:szCs w:val="20"/>
              </w:rPr>
            </w:pPr>
            <w:r w:rsidRPr="00DE2D6A">
              <w:rPr>
                <w:b/>
                <w:sz w:val="20"/>
                <w:szCs w:val="20"/>
              </w:rPr>
              <w:t>Strakonice</w:t>
            </w:r>
          </w:p>
        </w:tc>
        <w:tc>
          <w:tcPr>
            <w:tcW w:w="90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b/>
                <w:sz w:val="20"/>
                <w:szCs w:val="20"/>
              </w:rPr>
            </w:pPr>
            <w:r w:rsidRPr="00DE2D6A">
              <w:rPr>
                <w:b/>
                <w:sz w:val="20"/>
                <w:szCs w:val="20"/>
              </w:rPr>
              <w:t>Tábor</w:t>
            </w:r>
          </w:p>
        </w:tc>
        <w:tc>
          <w:tcPr>
            <w:tcW w:w="1386" w:type="dxa"/>
            <w:vMerge/>
            <w:tcBorders>
              <w:top w:val="single" w:sz="8" w:space="0" w:color="auto"/>
              <w:bottom w:val="single" w:sz="12" w:space="0" w:color="auto"/>
            </w:tcBorders>
            <w:shd w:val="clear" w:color="auto" w:fill="CCCCCC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96EE0" w:rsidRPr="00DE2D6A" w:rsidTr="001D2267">
        <w:trPr>
          <w:cantSplit/>
          <w:trHeight w:val="327"/>
          <w:jc w:val="center"/>
        </w:trPr>
        <w:tc>
          <w:tcPr>
            <w:tcW w:w="1271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DE2D6A">
              <w:rPr>
                <w:b/>
                <w:sz w:val="22"/>
                <w:szCs w:val="22"/>
              </w:rPr>
              <w:t>komplexní</w:t>
            </w:r>
          </w:p>
        </w:tc>
        <w:tc>
          <w:tcPr>
            <w:tcW w:w="108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14</w:t>
            </w:r>
          </w:p>
        </w:tc>
        <w:tc>
          <w:tcPr>
            <w:tcW w:w="102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14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13</w:t>
            </w:r>
          </w:p>
        </w:tc>
        <w:tc>
          <w:tcPr>
            <w:tcW w:w="1386" w:type="dxa"/>
            <w:tcBorders>
              <w:top w:val="single" w:sz="12" w:space="0" w:color="auto"/>
            </w:tcBorders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A15">
              <w:rPr>
                <w:rFonts w:ascii="Arial" w:hAnsi="Arial" w:cs="Arial"/>
                <w:sz w:val="22"/>
                <w:szCs w:val="22"/>
              </w:rPr>
              <w:t>94</w:t>
            </w:r>
          </w:p>
        </w:tc>
      </w:tr>
      <w:tr w:rsidR="00196EE0" w:rsidRPr="00DE2D6A" w:rsidTr="001D2267">
        <w:trPr>
          <w:cantSplit/>
          <w:trHeight w:val="327"/>
          <w:jc w:val="center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DE2D6A">
              <w:rPr>
                <w:b/>
                <w:sz w:val="22"/>
                <w:szCs w:val="22"/>
              </w:rPr>
              <w:t>tematické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50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72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78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71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85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75</w:t>
            </w:r>
          </w:p>
        </w:tc>
        <w:tc>
          <w:tcPr>
            <w:tcW w:w="138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A15">
              <w:rPr>
                <w:rFonts w:ascii="Arial" w:hAnsi="Arial" w:cs="Arial"/>
                <w:sz w:val="22"/>
                <w:szCs w:val="22"/>
              </w:rPr>
              <w:t>5</w:t>
            </w:r>
            <w:r>
              <w:rPr>
                <w:rFonts w:ascii="Arial" w:hAnsi="Arial" w:cs="Arial"/>
                <w:sz w:val="22"/>
                <w:szCs w:val="22"/>
              </w:rPr>
              <w:t>06</w:t>
            </w:r>
          </w:p>
        </w:tc>
      </w:tr>
      <w:tr w:rsidR="00196EE0" w:rsidRPr="00DE2D6A" w:rsidTr="001D2267">
        <w:trPr>
          <w:cantSplit/>
          <w:trHeight w:val="498"/>
          <w:jc w:val="center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DE2D6A" w:rsidRDefault="00196EE0" w:rsidP="001D2267">
            <w:pPr>
              <w:jc w:val="center"/>
              <w:rPr>
                <w:b/>
                <w:sz w:val="22"/>
                <w:szCs w:val="22"/>
              </w:rPr>
            </w:pPr>
            <w:r w:rsidRPr="00DE2D6A">
              <w:rPr>
                <w:b/>
                <w:sz w:val="22"/>
                <w:szCs w:val="22"/>
              </w:rPr>
              <w:t>kontrolní</w:t>
            </w:r>
          </w:p>
          <w:p w:rsidR="00196EE0" w:rsidRPr="00DE2D6A" w:rsidRDefault="00196EE0" w:rsidP="001D2267">
            <w:pPr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DE2D6A">
              <w:rPr>
                <w:b/>
                <w:sz w:val="22"/>
                <w:szCs w:val="22"/>
              </w:rPr>
              <w:t>dohlídka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33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60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38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40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72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66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sz w:val="22"/>
                <w:szCs w:val="22"/>
              </w:rPr>
            </w:pPr>
            <w:r w:rsidRPr="00FA4A15">
              <w:rPr>
                <w:sz w:val="22"/>
                <w:szCs w:val="22"/>
              </w:rPr>
              <w:t>27</w:t>
            </w:r>
          </w:p>
        </w:tc>
        <w:tc>
          <w:tcPr>
            <w:tcW w:w="1386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196EE0" w:rsidRPr="00FA4A15" w:rsidRDefault="00196EE0" w:rsidP="001D22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4A15">
              <w:rPr>
                <w:rFonts w:ascii="Arial" w:hAnsi="Arial" w:cs="Arial"/>
                <w:sz w:val="22"/>
                <w:szCs w:val="22"/>
              </w:rPr>
              <w:t>336</w:t>
            </w:r>
          </w:p>
        </w:tc>
      </w:tr>
    </w:tbl>
    <w:p w:rsidR="00196EE0" w:rsidRPr="00B97C69" w:rsidRDefault="00196EE0" w:rsidP="00196EE0">
      <w:pPr>
        <w:jc w:val="both"/>
        <w:rPr>
          <w:color w:val="3366FF"/>
        </w:rPr>
      </w:pPr>
      <w:r w:rsidRPr="00B97C69">
        <w:rPr>
          <w:color w:val="3366FF"/>
        </w:rPr>
        <w:tab/>
      </w:r>
    </w:p>
    <w:p w:rsidR="00196EE0" w:rsidRPr="00DE2D6A" w:rsidRDefault="00196EE0" w:rsidP="00196EE0">
      <w:pPr>
        <w:pStyle w:val="Mjodstavec"/>
      </w:pPr>
      <w:r w:rsidRPr="00D1629E">
        <w:t>Kontrolní činnost byla zaměřena na prověření dodržování povinností stanovených předpisy o požární ochraně ve stanoveném rozsahu u jednotlivých právních subjektů.</w:t>
      </w:r>
      <w:r w:rsidRPr="00DE2D6A">
        <w:t xml:space="preserve"> </w:t>
      </w:r>
    </w:p>
    <w:p w:rsidR="00196EE0" w:rsidRPr="001461D7" w:rsidRDefault="00196EE0" w:rsidP="00196EE0">
      <w:pPr>
        <w:pStyle w:val="Mjodstavec"/>
      </w:pPr>
      <w:r w:rsidRPr="001461D7">
        <w:t>Tematické požární kontroly byly v roce 2012 zaměřeny na dřevozpracující a papírenský průmysl, jako jsou např. truhlářské provozy, na provozy s prostorami pro nanášení hořlavých nátěrových hmot (stříkací kabiny, lakovny apod.), na objekty a prostory se složitými podmínkami pro zásah a na ubytovací zařízení a bytové domy</w:t>
      </w:r>
      <w:r>
        <w:t>.</w:t>
      </w:r>
      <w:r w:rsidRPr="001461D7">
        <w:t xml:space="preserve"> </w:t>
      </w:r>
    </w:p>
    <w:p w:rsidR="00196EE0" w:rsidRPr="00DE2D6A" w:rsidRDefault="00196EE0" w:rsidP="00196EE0">
      <w:pPr>
        <w:ind w:firstLine="284"/>
        <w:jc w:val="both"/>
        <w:rPr>
          <w:b/>
          <w:i/>
          <w:iCs/>
        </w:rPr>
      </w:pPr>
      <w:r w:rsidRPr="00DE2D6A">
        <w:rPr>
          <w:b/>
          <w:i/>
          <w:iCs/>
        </w:rPr>
        <w:t>Vyhodnocení kontrolní činnosti:</w:t>
      </w:r>
    </w:p>
    <w:p w:rsidR="00196EE0" w:rsidRPr="00DE2D6A" w:rsidRDefault="00196EE0" w:rsidP="00196EE0">
      <w:pPr>
        <w:pStyle w:val="Mjodstavec"/>
      </w:pPr>
      <w:r w:rsidRPr="00DE2D6A">
        <w:t>V průběhu jednotlivých kontrol byly zjištěny závady, ke kterým byla uložena opatření s lhůtami na odstranění závad. </w:t>
      </w:r>
    </w:p>
    <w:p w:rsidR="00196EE0" w:rsidRPr="00B97C69" w:rsidRDefault="00196EE0" w:rsidP="00196EE0">
      <w:pPr>
        <w:jc w:val="both"/>
        <w:rPr>
          <w:color w:val="3366FF"/>
        </w:rPr>
      </w:pPr>
    </w:p>
    <w:p w:rsidR="00196EE0" w:rsidRPr="00DE2D6A" w:rsidRDefault="00196EE0" w:rsidP="00196EE0">
      <w:pPr>
        <w:jc w:val="both"/>
        <w:rPr>
          <w:b/>
          <w:i/>
        </w:rPr>
      </w:pPr>
      <w:r w:rsidRPr="00DE2D6A">
        <w:rPr>
          <w:b/>
          <w:i/>
        </w:rPr>
        <w:t xml:space="preserve">Tabulka č. </w:t>
      </w:r>
      <w:r>
        <w:rPr>
          <w:b/>
          <w:i/>
        </w:rPr>
        <w:t>3</w:t>
      </w:r>
      <w:r w:rsidRPr="00DE2D6A">
        <w:rPr>
          <w:b/>
          <w:i/>
        </w:rPr>
        <w:t>: Přehled provedených požárních kontrol bez závad za HZS Jihočeského kraje</w:t>
      </w:r>
    </w:p>
    <w:tbl>
      <w:tblPr>
        <w:tblW w:w="94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050"/>
        <w:gridCol w:w="1051"/>
        <w:gridCol w:w="1052"/>
        <w:gridCol w:w="1051"/>
        <w:gridCol w:w="1052"/>
        <w:gridCol w:w="1053"/>
        <w:gridCol w:w="1053"/>
        <w:gridCol w:w="1053"/>
        <w:gridCol w:w="1065"/>
      </w:tblGrid>
      <w:tr w:rsidR="00196EE0" w:rsidRPr="00DE2D6A" w:rsidTr="001D2267">
        <w:trPr>
          <w:trHeight w:val="163"/>
          <w:jc w:val="center"/>
        </w:trPr>
        <w:tc>
          <w:tcPr>
            <w:tcW w:w="3153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196EE0" w:rsidRPr="0046607E" w:rsidRDefault="00196EE0" w:rsidP="001D2267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46607E">
              <w:rPr>
                <w:b/>
              </w:rPr>
              <w:t>Počet kontrol</w:t>
            </w:r>
          </w:p>
        </w:tc>
        <w:tc>
          <w:tcPr>
            <w:tcW w:w="3156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196EE0" w:rsidRPr="0046607E" w:rsidRDefault="00196EE0" w:rsidP="001D2267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46607E">
              <w:rPr>
                <w:b/>
              </w:rPr>
              <w:t>Počet kontrol bez závad</w:t>
            </w:r>
          </w:p>
        </w:tc>
        <w:tc>
          <w:tcPr>
            <w:tcW w:w="3171" w:type="dxa"/>
            <w:gridSpan w:val="3"/>
            <w:tcBorders>
              <w:top w:val="single" w:sz="12" w:space="0" w:color="auto"/>
              <w:bottom w:val="single" w:sz="8" w:space="0" w:color="auto"/>
            </w:tcBorders>
            <w:shd w:val="clear" w:color="auto" w:fill="CCCCCC"/>
            <w:vAlign w:val="center"/>
          </w:tcPr>
          <w:p w:rsidR="00196EE0" w:rsidRPr="0046607E" w:rsidRDefault="00196EE0" w:rsidP="001D2267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46607E">
              <w:rPr>
                <w:b/>
              </w:rPr>
              <w:t>%</w:t>
            </w:r>
          </w:p>
        </w:tc>
      </w:tr>
      <w:tr w:rsidR="00196EE0" w:rsidRPr="00DE2D6A" w:rsidTr="001D2267">
        <w:trPr>
          <w:trHeight w:val="204"/>
          <w:jc w:val="center"/>
        </w:trPr>
        <w:tc>
          <w:tcPr>
            <w:tcW w:w="1050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96EE0" w:rsidRPr="0046607E" w:rsidRDefault="00196EE0" w:rsidP="001D2267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46607E">
              <w:rPr>
                <w:b/>
              </w:rPr>
              <w:t>KK</w:t>
            </w:r>
          </w:p>
        </w:tc>
        <w:tc>
          <w:tcPr>
            <w:tcW w:w="1051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96EE0" w:rsidRPr="0046607E" w:rsidRDefault="00196EE0" w:rsidP="001D2267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46607E">
              <w:rPr>
                <w:b/>
              </w:rPr>
              <w:t>TK</w:t>
            </w:r>
          </w:p>
        </w:tc>
        <w:tc>
          <w:tcPr>
            <w:tcW w:w="105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96EE0" w:rsidRPr="0046607E" w:rsidRDefault="00196EE0" w:rsidP="001D2267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46607E">
              <w:rPr>
                <w:b/>
              </w:rPr>
              <w:t>KD</w:t>
            </w:r>
          </w:p>
        </w:tc>
        <w:tc>
          <w:tcPr>
            <w:tcW w:w="1051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96EE0" w:rsidRPr="0046607E" w:rsidRDefault="00196EE0" w:rsidP="001D2267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46607E">
              <w:rPr>
                <w:b/>
              </w:rPr>
              <w:t>KK</w:t>
            </w:r>
          </w:p>
        </w:tc>
        <w:tc>
          <w:tcPr>
            <w:tcW w:w="1052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96EE0" w:rsidRPr="0046607E" w:rsidRDefault="00196EE0" w:rsidP="001D2267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46607E">
              <w:rPr>
                <w:b/>
              </w:rPr>
              <w:t>TK</w:t>
            </w:r>
          </w:p>
        </w:tc>
        <w:tc>
          <w:tcPr>
            <w:tcW w:w="105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96EE0" w:rsidRPr="0046607E" w:rsidRDefault="00196EE0" w:rsidP="001D2267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46607E">
              <w:rPr>
                <w:b/>
              </w:rPr>
              <w:t>KD</w:t>
            </w:r>
          </w:p>
        </w:tc>
        <w:tc>
          <w:tcPr>
            <w:tcW w:w="105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96EE0" w:rsidRPr="0046607E" w:rsidRDefault="00196EE0" w:rsidP="001D2267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46607E">
              <w:rPr>
                <w:b/>
              </w:rPr>
              <w:t>KK</w:t>
            </w:r>
          </w:p>
        </w:tc>
        <w:tc>
          <w:tcPr>
            <w:tcW w:w="1053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96EE0" w:rsidRPr="0046607E" w:rsidRDefault="00196EE0" w:rsidP="001D2267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46607E">
              <w:rPr>
                <w:b/>
              </w:rPr>
              <w:t>TK</w:t>
            </w:r>
          </w:p>
        </w:tc>
        <w:tc>
          <w:tcPr>
            <w:tcW w:w="1065" w:type="dxa"/>
            <w:tcBorders>
              <w:top w:val="single" w:sz="8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196EE0" w:rsidRPr="0046607E" w:rsidRDefault="00196EE0" w:rsidP="001D2267">
            <w:pPr>
              <w:pStyle w:val="Seznam2"/>
              <w:spacing w:after="120"/>
              <w:ind w:left="360"/>
              <w:jc w:val="center"/>
              <w:rPr>
                <w:b/>
              </w:rPr>
            </w:pPr>
            <w:r w:rsidRPr="0046607E">
              <w:rPr>
                <w:b/>
              </w:rPr>
              <w:t>KD</w:t>
            </w:r>
          </w:p>
        </w:tc>
      </w:tr>
      <w:tr w:rsidR="00196EE0" w:rsidRPr="00DE2D6A" w:rsidTr="001D2267">
        <w:trPr>
          <w:trHeight w:val="163"/>
          <w:jc w:val="center"/>
        </w:trPr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:rsidR="00196EE0" w:rsidRPr="00DE2D6A" w:rsidRDefault="00196EE0" w:rsidP="001D2267">
            <w:pPr>
              <w:pStyle w:val="Seznam2"/>
              <w:spacing w:after="120"/>
              <w:ind w:left="360"/>
              <w:jc w:val="center"/>
            </w:pPr>
            <w:r w:rsidRPr="00DE2D6A">
              <w:t>94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:rsidR="00196EE0" w:rsidRPr="00DE2D6A" w:rsidRDefault="00196EE0" w:rsidP="001D2267">
            <w:pPr>
              <w:pStyle w:val="Seznam2"/>
              <w:spacing w:after="120"/>
              <w:ind w:left="360"/>
              <w:jc w:val="center"/>
            </w:pPr>
            <w:r w:rsidRPr="00DE2D6A">
              <w:t>506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:rsidR="00196EE0" w:rsidRPr="00DE2D6A" w:rsidRDefault="00196EE0" w:rsidP="001D2267">
            <w:pPr>
              <w:pStyle w:val="Seznam2"/>
              <w:spacing w:after="120"/>
              <w:ind w:left="360"/>
              <w:jc w:val="center"/>
            </w:pPr>
            <w:r w:rsidRPr="00DE2D6A">
              <w:t>336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:rsidR="00196EE0" w:rsidRPr="00DE2D6A" w:rsidRDefault="00196EE0" w:rsidP="001D2267">
            <w:pPr>
              <w:pStyle w:val="Seznam2"/>
              <w:spacing w:after="120"/>
              <w:ind w:left="360"/>
              <w:jc w:val="center"/>
            </w:pPr>
            <w:r w:rsidRPr="00DE2D6A">
              <w:t>22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:rsidR="00196EE0" w:rsidRPr="00DE2D6A" w:rsidRDefault="00196EE0" w:rsidP="001D2267">
            <w:pPr>
              <w:pStyle w:val="Seznam2"/>
              <w:spacing w:after="120"/>
              <w:ind w:left="360"/>
              <w:jc w:val="center"/>
            </w:pPr>
            <w:r w:rsidRPr="00DE2D6A">
              <w:t>122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196EE0" w:rsidRPr="00DE2D6A" w:rsidRDefault="00196EE0" w:rsidP="001D2267">
            <w:pPr>
              <w:pStyle w:val="Seznam2"/>
              <w:spacing w:after="120"/>
              <w:ind w:left="360"/>
              <w:jc w:val="center"/>
            </w:pPr>
            <w:r w:rsidRPr="00DE2D6A">
              <w:t>329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196EE0" w:rsidRPr="00DE2D6A" w:rsidRDefault="00196EE0" w:rsidP="001D2267">
            <w:pPr>
              <w:pStyle w:val="Seznam2"/>
              <w:spacing w:after="120"/>
              <w:ind w:left="360"/>
              <w:jc w:val="center"/>
            </w:pPr>
            <w:r w:rsidRPr="00DE2D6A">
              <w:t>23,4</w:t>
            </w:r>
          </w:p>
        </w:tc>
        <w:tc>
          <w:tcPr>
            <w:tcW w:w="1053" w:type="dxa"/>
            <w:tcBorders>
              <w:top w:val="single" w:sz="12" w:space="0" w:color="auto"/>
            </w:tcBorders>
            <w:vAlign w:val="center"/>
          </w:tcPr>
          <w:p w:rsidR="00196EE0" w:rsidRPr="00DE2D6A" w:rsidRDefault="00196EE0" w:rsidP="001D2267">
            <w:pPr>
              <w:pStyle w:val="Seznam2"/>
              <w:spacing w:after="120"/>
              <w:ind w:left="360"/>
              <w:jc w:val="center"/>
            </w:pPr>
            <w:r w:rsidRPr="00DE2D6A">
              <w:t>24,1</w:t>
            </w:r>
          </w:p>
        </w:tc>
        <w:tc>
          <w:tcPr>
            <w:tcW w:w="1065" w:type="dxa"/>
            <w:tcBorders>
              <w:top w:val="single" w:sz="12" w:space="0" w:color="auto"/>
            </w:tcBorders>
            <w:vAlign w:val="center"/>
          </w:tcPr>
          <w:p w:rsidR="00196EE0" w:rsidRPr="00DE2D6A" w:rsidRDefault="00196EE0" w:rsidP="001D2267">
            <w:pPr>
              <w:pStyle w:val="Seznam2"/>
              <w:spacing w:after="120"/>
              <w:ind w:left="360"/>
              <w:jc w:val="center"/>
            </w:pPr>
            <w:r w:rsidRPr="00DE2D6A">
              <w:t>97,2</w:t>
            </w:r>
          </w:p>
        </w:tc>
      </w:tr>
    </w:tbl>
    <w:p w:rsidR="00196EE0" w:rsidRPr="00B97C69" w:rsidRDefault="00196EE0" w:rsidP="00196EE0">
      <w:pPr>
        <w:jc w:val="both"/>
        <w:rPr>
          <w:color w:val="3366FF"/>
        </w:rPr>
      </w:pPr>
    </w:p>
    <w:p w:rsidR="00196EE0" w:rsidRPr="00DE2D6A" w:rsidRDefault="00196EE0" w:rsidP="00196EE0">
      <w:pPr>
        <w:jc w:val="both"/>
        <w:rPr>
          <w:b/>
          <w:i/>
        </w:rPr>
      </w:pPr>
      <w:r w:rsidRPr="00DE2D6A">
        <w:rPr>
          <w:b/>
          <w:i/>
        </w:rPr>
        <w:t>Nejčastěji zjištěné nedostatky:</w:t>
      </w:r>
    </w:p>
    <w:p w:rsidR="00196EE0" w:rsidRPr="00854BCC" w:rsidRDefault="00196EE0" w:rsidP="00196EE0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854BCC">
        <w:lastRenderedPageBreak/>
        <w:t>v dokumentaci o začlenění provozované činnosti do kategorie podle míry požárního nebezpečí, dále bylo časté zjištění, že dokument</w:t>
      </w:r>
      <w:r>
        <w:t>ace požární ochrany je špatně vyhodnocena osobou odborně způsobilou,</w:t>
      </w:r>
    </w:p>
    <w:p w:rsidR="00196EE0" w:rsidRPr="00854BCC" w:rsidRDefault="00196EE0" w:rsidP="00196EE0">
      <w:pPr>
        <w:pStyle w:val="Zkladntextodsazen"/>
        <w:numPr>
          <w:ilvl w:val="0"/>
          <w:numId w:val="1"/>
        </w:numPr>
        <w:tabs>
          <w:tab w:val="clear" w:pos="567"/>
          <w:tab w:val="num" w:pos="900"/>
        </w:tabs>
        <w:spacing w:after="0"/>
        <w:ind w:left="900" w:hanging="540"/>
        <w:jc w:val="both"/>
      </w:pPr>
      <w:r w:rsidRPr="00854BCC">
        <w:t>při prokazování provozuschopnosti instalovaných požárně bezpečnostních zařízení včetně vyhrazených</w:t>
      </w:r>
      <w:r>
        <w:t>,</w:t>
      </w:r>
    </w:p>
    <w:p w:rsidR="00196EE0" w:rsidRDefault="00196EE0" w:rsidP="00196EE0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854BCC">
        <w:t>při označování pracovišť a dalších míst bezpečnostními značkami</w:t>
      </w:r>
      <w:r>
        <w:t>,</w:t>
      </w:r>
    </w:p>
    <w:p w:rsidR="00196EE0" w:rsidRPr="00854BCC" w:rsidRDefault="00196EE0" w:rsidP="00196EE0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>
        <w:t>nepředložení schválené projektové dokumentace v rozsahu požárně bezpečnostních řešení a vydaných kolaudačních rozhodnutí,</w:t>
      </w:r>
    </w:p>
    <w:p w:rsidR="00196EE0" w:rsidRPr="00854BCC" w:rsidRDefault="00196EE0" w:rsidP="00196EE0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854BCC">
        <w:t>chybné označení únikových východů a směrů úniku osob,</w:t>
      </w:r>
    </w:p>
    <w:p w:rsidR="00196EE0" w:rsidRPr="00854BCC" w:rsidRDefault="00196EE0" w:rsidP="00196EE0">
      <w:pPr>
        <w:numPr>
          <w:ilvl w:val="0"/>
          <w:numId w:val="1"/>
        </w:numPr>
        <w:tabs>
          <w:tab w:val="clear" w:pos="567"/>
          <w:tab w:val="num" w:pos="900"/>
        </w:tabs>
        <w:ind w:left="900" w:hanging="540"/>
        <w:jc w:val="both"/>
      </w:pPr>
      <w:r w:rsidRPr="00854BCC">
        <w:t>nepředložení dokladů k prokázání požární bezpečnosti technických zařízení</w:t>
      </w:r>
      <w:r>
        <w:t>.</w:t>
      </w:r>
    </w:p>
    <w:p w:rsidR="00196EE0" w:rsidRPr="00B97C69" w:rsidRDefault="00196EE0" w:rsidP="00196EE0">
      <w:pPr>
        <w:pStyle w:val="Zkladntextodsazen"/>
        <w:spacing w:after="0"/>
        <w:ind w:left="0"/>
        <w:jc w:val="both"/>
        <w:rPr>
          <w:color w:val="3366FF"/>
        </w:rPr>
      </w:pPr>
    </w:p>
    <w:p w:rsidR="00196EE0" w:rsidRDefault="00196EE0" w:rsidP="00196EE0">
      <w:pPr>
        <w:pStyle w:val="Mjodstavec"/>
      </w:pPr>
      <w:r>
        <w:t>Z</w:t>
      </w:r>
      <w:r w:rsidRPr="00854BCC">
        <w:t xml:space="preserve"> hlediska prevence závažných havárií</w:t>
      </w:r>
      <w:r>
        <w:t xml:space="preserve"> bylo</w:t>
      </w:r>
      <w:r w:rsidRPr="00854BCC">
        <w:t xml:space="preserve"> provedeno 10 požárních kontrol právních subjektů zařazených dle zákona č. 59/2006 Sb., o prevenci závažných havárií. Tyto kontroly byly provedeny ve spolupráci s  Českou inspekcí životního prostředí.  Kontroly vyplývající ze zákona o prevenci závažných havárií byly prováděny v souladu s „Plánem kontrol České inspekce životního prostředí na rok 2012“. Při kontrolách na úseku požární ochrany bylo zjištěno, že nejsou </w:t>
      </w:r>
      <w:r w:rsidRPr="004E6C7B">
        <w:t>dodržovány povinnosti stanovené předpisy o požární ochraně</w:t>
      </w:r>
      <w:r w:rsidRPr="00854BCC">
        <w:t>, jako např</w:t>
      </w:r>
      <w:r w:rsidRPr="004E6C7B">
        <w:t xml:space="preserve">. obsahové chyby v dokumentaci požární ochrany, nepředložení dokladu provozuschopnosti </w:t>
      </w:r>
      <w:r w:rsidRPr="00854BCC">
        <w:t>požárně bezpečnostních zařízení a neoznačení míst příslušnými bezpečnostními značkami</w:t>
      </w:r>
      <w:r w:rsidRPr="004E6C7B">
        <w:t xml:space="preserve">, </w:t>
      </w:r>
      <w:r>
        <w:t xml:space="preserve">nepředložení schválené projektové dokumentace v rozsahu požárně bezpečnostních řešení a vydaných kolaudačních rozhodnutí, předložení neúplné dokumentace zdolávání požáru. </w:t>
      </w:r>
    </w:p>
    <w:p w:rsidR="00196EE0" w:rsidRPr="00854BCC" w:rsidRDefault="00196EE0" w:rsidP="00196EE0">
      <w:pPr>
        <w:pStyle w:val="Mjodstavec"/>
      </w:pPr>
      <w:r w:rsidRPr="00854BCC">
        <w:t>Na území Jihočeského kraje provozuje 12 právních subjektů činnosti s vysokým požárním nebezpečím. V souvislosti s touto skutečností se HZS Jihočeského kraje vyjadřoval k   dokumentaci posouzení požárního nebezpečí. Celkem bylo předloženo šest posouzení požárního nebezpečí, jedno posouzení požárního nebezpečí bylo schváleno</w:t>
      </w:r>
      <w:r>
        <w:t xml:space="preserve"> a čtyři</w:t>
      </w:r>
      <w:r w:rsidRPr="00854BCC">
        <w:t xml:space="preserve"> po</w:t>
      </w:r>
      <w:r>
        <w:t>souzení požárního nebezpečí byly vráceny</w:t>
      </w:r>
      <w:r w:rsidRPr="00854BCC">
        <w:t xml:space="preserve"> k odstranění zjištěných nedostatků a doplnění předložených dokumentů. </w:t>
      </w:r>
    </w:p>
    <w:p w:rsidR="00196EE0" w:rsidRPr="00854BCC" w:rsidRDefault="00196EE0" w:rsidP="00196EE0">
      <w:pPr>
        <w:pStyle w:val="Mjodstavec"/>
      </w:pPr>
      <w:r w:rsidRPr="00854BCC">
        <w:t>Dále byly poskytovány odborné konzultace pro občany, právní subjekty a odbornou veřejnost (osoby s odbornou způsobilostí) a byly samostatně nebo ve spolupráci s jinými orgány státní správy řešeny podněty občanů se zaměřením na oblast dodržování povinností stanovených předpisy o požární ochraně.</w:t>
      </w:r>
    </w:p>
    <w:p w:rsidR="00481254" w:rsidRDefault="00481254">
      <w:bookmarkStart w:id="0" w:name="_GoBack"/>
      <w:bookmarkEnd w:id="0"/>
    </w:p>
    <w:sectPr w:rsidR="004812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AF74EA"/>
    <w:multiLevelType w:val="hybridMultilevel"/>
    <w:tmpl w:val="08724026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6DF57A7"/>
    <w:multiLevelType w:val="hybridMultilevel"/>
    <w:tmpl w:val="EC728E0C"/>
    <w:lvl w:ilvl="0" w:tplc="2E46BA70">
      <w:start w:val="1"/>
      <w:numFmt w:val="bullet"/>
      <w:lvlText w:val=""/>
      <w:lvlJc w:val="left"/>
      <w:pPr>
        <w:tabs>
          <w:tab w:val="num" w:pos="567"/>
        </w:tabs>
        <w:ind w:left="567" w:hanging="207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EE0"/>
    <w:rsid w:val="00196EE0"/>
    <w:rsid w:val="00481254"/>
    <w:rsid w:val="00DC7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DE2B94-B969-4F6D-A66D-E104A7D3C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96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196E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196EE0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196EE0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196EE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196E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jodstavec">
    <w:name w:val="Můj odstavec"/>
    <w:basedOn w:val="Seznam2"/>
    <w:link w:val="MjodstavecChar"/>
    <w:rsid w:val="00196EE0"/>
    <w:pPr>
      <w:spacing w:after="120"/>
      <w:ind w:left="284" w:firstLine="567"/>
      <w:jc w:val="both"/>
    </w:pPr>
  </w:style>
  <w:style w:type="character" w:customStyle="1" w:styleId="MjodstavecChar">
    <w:name w:val="Můj odstavec Char"/>
    <w:basedOn w:val="Standardnpsmoodstavce"/>
    <w:link w:val="Mjodstavec"/>
    <w:rsid w:val="00196EE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eznam2Char">
    <w:name w:val="Seznam 2 Char"/>
    <w:basedOn w:val="Standardnpsmoodstavce"/>
    <w:link w:val="Seznam2"/>
    <w:rsid w:val="00196EE0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7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2</cp:revision>
  <dcterms:created xsi:type="dcterms:W3CDTF">2014-10-03T11:04:00Z</dcterms:created>
  <dcterms:modified xsi:type="dcterms:W3CDTF">2014-10-07T12:26:00Z</dcterms:modified>
</cp:coreProperties>
</file>