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AE" w:rsidRPr="00055CAE" w:rsidRDefault="00055CAE" w:rsidP="00102B54">
      <w:pPr>
        <w:pStyle w:val="Zkladntext"/>
        <w:tabs>
          <w:tab w:val="left" w:pos="567"/>
        </w:tabs>
        <w:spacing w:before="120"/>
        <w:rPr>
          <w:rFonts w:ascii="Calibri" w:hAnsi="Calibri" w:cs="Calibri"/>
          <w:b/>
          <w:sz w:val="32"/>
        </w:rPr>
      </w:pPr>
      <w:r w:rsidRPr="00055CAE">
        <w:rPr>
          <w:rFonts w:ascii="Calibri" w:hAnsi="Calibri" w:cs="Calibri"/>
          <w:b/>
          <w:sz w:val="32"/>
        </w:rPr>
        <w:t>Kontejner týlový</w:t>
      </w:r>
    </w:p>
    <w:p w:rsidR="00055CAE" w:rsidRDefault="00055CAE" w:rsidP="00102B54">
      <w:pPr>
        <w:pStyle w:val="Zkladntext"/>
        <w:tabs>
          <w:tab w:val="left" w:pos="567"/>
        </w:tabs>
        <w:spacing w:before="120"/>
        <w:rPr>
          <w:rFonts w:ascii="Calibri" w:hAnsi="Calibri" w:cs="Calibri"/>
        </w:rPr>
      </w:pPr>
    </w:p>
    <w:p w:rsidR="00102B54" w:rsidRPr="00F507E3" w:rsidRDefault="00102B54" w:rsidP="00102B54">
      <w:pPr>
        <w:pStyle w:val="Zkladntext"/>
        <w:tabs>
          <w:tab w:val="left" w:pos="567"/>
        </w:tabs>
        <w:spacing w:before="120"/>
        <w:rPr>
          <w:rFonts w:ascii="Calibri" w:hAnsi="Calibri" w:cs="Calibri"/>
        </w:rPr>
      </w:pPr>
      <w:r w:rsidRPr="00F507E3">
        <w:rPr>
          <w:rFonts w:ascii="Calibri" w:hAnsi="Calibri" w:cs="Calibri"/>
        </w:rPr>
        <w:t>Kontejner týlový (dále jen „KTY“) je konstruován pro samostatné použití, a to po složení z kontejnerového nosiče na zem</w:t>
      </w:r>
      <w:r w:rsidR="00F507E3" w:rsidRPr="00F507E3">
        <w:rPr>
          <w:rFonts w:ascii="Calibri" w:hAnsi="Calibri" w:cs="Calibri"/>
        </w:rPr>
        <w:t>, kdy</w:t>
      </w:r>
      <w:r w:rsidRPr="00F507E3">
        <w:rPr>
          <w:rFonts w:ascii="Calibri" w:hAnsi="Calibri" w:cs="Calibri"/>
        </w:rPr>
        <w:t xml:space="preserve"> </w:t>
      </w:r>
      <w:r w:rsidR="00F507E3" w:rsidRPr="00AC242C">
        <w:rPr>
          <w:rFonts w:ascii="Calibri" w:eastAsia="Times New Roman" w:hAnsi="Calibri" w:cs="Calibri"/>
          <w:szCs w:val="24"/>
          <w:lang w:eastAsia="cs-CZ"/>
        </w:rPr>
        <w:t xml:space="preserve">lze prodloužit </w:t>
      </w:r>
      <w:r w:rsidR="00F507E3" w:rsidRPr="00F507E3">
        <w:rPr>
          <w:rFonts w:ascii="Calibri" w:eastAsia="Times New Roman" w:hAnsi="Calibri" w:cs="Calibri"/>
          <w:szCs w:val="24"/>
          <w:lang w:eastAsia="cs-CZ"/>
        </w:rPr>
        <w:t xml:space="preserve">do strany </w:t>
      </w:r>
      <w:r w:rsidR="00F507E3" w:rsidRPr="00AC242C">
        <w:rPr>
          <w:rFonts w:ascii="Calibri" w:eastAsia="Times New Roman" w:hAnsi="Calibri" w:cs="Calibri"/>
          <w:szCs w:val="24"/>
          <w:lang w:eastAsia="cs-CZ"/>
        </w:rPr>
        <w:t>pomoci zastavěného výsuvného modulu.</w:t>
      </w:r>
      <w:r w:rsidRPr="00F507E3">
        <w:rPr>
          <w:rFonts w:ascii="Calibri" w:hAnsi="Calibri" w:cs="Calibri"/>
        </w:rPr>
        <w:t xml:space="preserve"> Rozložením do boku se zvýší jeho podlahová plocha o dalších cca 8 m</w:t>
      </w:r>
      <w:r w:rsidRPr="00F507E3">
        <w:rPr>
          <w:rFonts w:ascii="Calibri" w:hAnsi="Calibri" w:cs="Calibri"/>
          <w:vertAlign w:val="superscript"/>
        </w:rPr>
        <w:t>2</w:t>
      </w:r>
      <w:r w:rsidRPr="00F507E3">
        <w:rPr>
          <w:rFonts w:ascii="Calibri" w:hAnsi="Calibri" w:cs="Calibri"/>
        </w:rPr>
        <w:t>.</w:t>
      </w:r>
    </w:p>
    <w:p w:rsidR="00102B54" w:rsidRDefault="00102B54" w:rsidP="00102B54">
      <w:pPr>
        <w:spacing w:before="120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cs-CZ"/>
        </w:rPr>
      </w:pPr>
      <w:r w:rsidRPr="00AC242C">
        <w:rPr>
          <w:rFonts w:ascii="Calibri" w:eastAsia="Times New Roman" w:hAnsi="Calibri" w:cs="Calibri"/>
          <w:bCs/>
          <w:sz w:val="24"/>
          <w:szCs w:val="24"/>
          <w:lang w:eastAsia="cs-CZ"/>
        </w:rPr>
        <w:t>K</w:t>
      </w:r>
      <w:r w:rsidRPr="00102B54">
        <w:rPr>
          <w:rFonts w:ascii="Calibri" w:eastAsia="Times New Roman" w:hAnsi="Calibri" w:cs="Calibri"/>
          <w:bCs/>
          <w:sz w:val="24"/>
          <w:szCs w:val="24"/>
          <w:lang w:eastAsia="cs-CZ"/>
        </w:rPr>
        <w:t>TY</w:t>
      </w:r>
      <w:r w:rsidRPr="00AC242C">
        <w:rPr>
          <w:rFonts w:ascii="Calibri" w:eastAsia="Times New Roman" w:hAnsi="Calibri" w:cs="Calibri"/>
          <w:bCs/>
          <w:sz w:val="24"/>
          <w:szCs w:val="24"/>
          <w:lang w:eastAsia="cs-CZ"/>
        </w:rPr>
        <w:t xml:space="preserve"> </w:t>
      </w:r>
      <w:r>
        <w:rPr>
          <w:rFonts w:ascii="Calibri" w:eastAsia="Times New Roman" w:hAnsi="Calibri" w:cs="Calibri"/>
          <w:bCs/>
          <w:sz w:val="24"/>
          <w:szCs w:val="24"/>
          <w:lang w:eastAsia="cs-CZ"/>
        </w:rPr>
        <w:t>má dvě varianty použití:</w:t>
      </w:r>
    </w:p>
    <w:p w:rsidR="00002738" w:rsidRPr="00F507E3" w:rsidRDefault="00002738" w:rsidP="007B7167">
      <w:pPr>
        <w:pStyle w:val="Odstavecseseznamem"/>
        <w:numPr>
          <w:ilvl w:val="0"/>
          <w:numId w:val="2"/>
        </w:numPr>
        <w:spacing w:before="120" w:after="0" w:line="240" w:lineRule="auto"/>
        <w:jc w:val="both"/>
        <w:rPr>
          <w:rFonts w:ascii="Calibri" w:hAnsi="Calibri" w:cs="Calibri"/>
        </w:rPr>
      </w:pPr>
      <w:r w:rsidRPr="00BA44FD">
        <w:rPr>
          <w:rFonts w:ascii="Calibri" w:eastAsia="Times New Roman" w:hAnsi="Calibri" w:cs="Calibri"/>
          <w:sz w:val="24"/>
          <w:szCs w:val="24"/>
          <w:lang w:eastAsia="cs-CZ"/>
        </w:rPr>
        <w:t xml:space="preserve">pro potřeby štábu </w:t>
      </w:r>
      <w:r w:rsidR="00311D40" w:rsidRPr="00BA44FD">
        <w:rPr>
          <w:rFonts w:ascii="Calibri" w:eastAsia="Times New Roman" w:hAnsi="Calibri" w:cs="Calibri"/>
          <w:sz w:val="24"/>
          <w:szCs w:val="24"/>
          <w:lang w:eastAsia="cs-CZ"/>
        </w:rPr>
        <w:t>velitele zásahu</w:t>
      </w:r>
      <w:r w:rsidR="004F6122">
        <w:rPr>
          <w:rFonts w:ascii="Calibri" w:eastAsia="Times New Roman" w:hAnsi="Calibri" w:cs="Calibri"/>
          <w:sz w:val="24"/>
          <w:szCs w:val="24"/>
          <w:lang w:eastAsia="cs-CZ"/>
        </w:rPr>
        <w:t xml:space="preserve"> pro koordinaci prací jednotek PO a složek IZS na místě déle trvajících a rozsáhlých mimořádných událostí</w:t>
      </w:r>
      <w:r w:rsidR="00311D40" w:rsidRPr="00BA44FD">
        <w:rPr>
          <w:rFonts w:ascii="Calibri" w:eastAsia="Times New Roman" w:hAnsi="Calibri" w:cs="Calibri"/>
          <w:sz w:val="24"/>
          <w:szCs w:val="24"/>
          <w:lang w:eastAsia="cs-CZ"/>
        </w:rPr>
        <w:t xml:space="preserve"> </w:t>
      </w:r>
      <w:r w:rsidR="00BA44FD" w:rsidRPr="00BA44FD">
        <w:rPr>
          <w:rFonts w:ascii="Calibri" w:eastAsia="Times New Roman" w:hAnsi="Calibri" w:cs="Calibri"/>
          <w:sz w:val="24"/>
          <w:szCs w:val="24"/>
          <w:lang w:eastAsia="cs-CZ"/>
        </w:rPr>
        <w:t xml:space="preserve">při společných zásazích složek IZS, </w:t>
      </w:r>
      <w:r w:rsidR="004F6122">
        <w:rPr>
          <w:rFonts w:ascii="Calibri" w:eastAsia="Times New Roman" w:hAnsi="Calibri" w:cs="Calibri"/>
          <w:sz w:val="24"/>
          <w:szCs w:val="24"/>
          <w:lang w:eastAsia="cs-CZ"/>
        </w:rPr>
        <w:t>zejména</w:t>
      </w:r>
      <w:r w:rsidR="00311D40" w:rsidRPr="00BA44FD">
        <w:rPr>
          <w:rFonts w:ascii="Calibri" w:eastAsia="Times New Roman" w:hAnsi="Calibri" w:cs="Calibri"/>
          <w:color w:val="292B2C"/>
          <w:sz w:val="24"/>
          <w:szCs w:val="24"/>
          <w:shd w:val="clear" w:color="auto" w:fill="FFFFFF"/>
          <w:lang w:eastAsia="cs-CZ"/>
        </w:rPr>
        <w:t xml:space="preserve"> </w:t>
      </w:r>
      <w:r w:rsidR="00BA44FD" w:rsidRPr="00AC242C">
        <w:rPr>
          <w:rFonts w:ascii="Calibri" w:eastAsia="Times New Roman" w:hAnsi="Calibri" w:cs="Calibri"/>
          <w:sz w:val="24"/>
          <w:szCs w:val="24"/>
          <w:lang w:eastAsia="cs-CZ"/>
        </w:rPr>
        <w:t>při živelních pohromách a dalších společných zásazích slo</w:t>
      </w:r>
      <w:r w:rsidR="00F507E3">
        <w:rPr>
          <w:rFonts w:ascii="Calibri" w:eastAsia="Times New Roman" w:hAnsi="Calibri" w:cs="Calibri"/>
          <w:sz w:val="24"/>
          <w:szCs w:val="24"/>
          <w:lang w:eastAsia="cs-CZ"/>
        </w:rPr>
        <w:t>žek IZS náročných na koordinaci,</w:t>
      </w:r>
    </w:p>
    <w:p w:rsidR="00F507E3" w:rsidRPr="00F507E3" w:rsidRDefault="00F507E3" w:rsidP="00F507E3">
      <w:pPr>
        <w:pStyle w:val="Odstavecseseznamem"/>
        <w:numPr>
          <w:ilvl w:val="0"/>
          <w:numId w:val="2"/>
        </w:numPr>
        <w:spacing w:before="120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BA44FD">
        <w:rPr>
          <w:rFonts w:ascii="Calibri" w:eastAsia="Times New Roman" w:hAnsi="Calibri" w:cs="Calibri"/>
          <w:color w:val="292B2C"/>
          <w:sz w:val="24"/>
          <w:szCs w:val="24"/>
          <w:shd w:val="clear" w:color="auto" w:fill="FFFFFF"/>
          <w:lang w:eastAsia="cs-CZ"/>
        </w:rPr>
        <w:t>jako týlové logistické zázemí pro zasahující příslušníky</w:t>
      </w:r>
      <w:r>
        <w:rPr>
          <w:rFonts w:ascii="Calibri" w:eastAsia="Times New Roman" w:hAnsi="Calibri" w:cs="Calibri"/>
          <w:color w:val="292B2C"/>
          <w:sz w:val="24"/>
          <w:szCs w:val="24"/>
          <w:shd w:val="clear" w:color="auto" w:fill="FFFFFF"/>
          <w:lang w:eastAsia="cs-CZ"/>
        </w:rPr>
        <w:t xml:space="preserve"> nebo složky IZS</w:t>
      </w:r>
      <w:r w:rsidRPr="00BA44FD">
        <w:rPr>
          <w:rFonts w:ascii="Calibri" w:eastAsia="Times New Roman" w:hAnsi="Calibri" w:cs="Calibri"/>
          <w:color w:val="292B2C"/>
          <w:sz w:val="24"/>
          <w:szCs w:val="24"/>
          <w:shd w:val="clear" w:color="auto" w:fill="FFFFFF"/>
          <w:lang w:eastAsia="cs-CZ"/>
        </w:rPr>
        <w:t xml:space="preserve"> při dlouhodobých zásazích nebo déle trvajících a rozsáhlých mimořádných událostí, které jsou náročné na zabezpečení týlu, </w:t>
      </w:r>
      <w:r w:rsidRPr="00AC242C">
        <w:rPr>
          <w:rFonts w:ascii="Calibri" w:eastAsia="Times New Roman" w:hAnsi="Calibri" w:cs="Calibri"/>
          <w:sz w:val="24"/>
          <w:szCs w:val="24"/>
          <w:lang w:eastAsia="cs-CZ"/>
        </w:rPr>
        <w:t>např. déle trvající rozsáhlé požáry při nepří</w:t>
      </w:r>
      <w:r w:rsidRPr="00BA44FD">
        <w:rPr>
          <w:rFonts w:ascii="Calibri" w:eastAsia="Times New Roman" w:hAnsi="Calibri" w:cs="Calibri"/>
          <w:sz w:val="24"/>
          <w:szCs w:val="24"/>
          <w:lang w:eastAsia="cs-CZ"/>
        </w:rPr>
        <w:t>znivých klimatických podmínkách.</w:t>
      </w:r>
      <w:r w:rsidRPr="00BA44FD">
        <w:rPr>
          <w:rFonts w:ascii="Calibri" w:eastAsia="Times New Roman" w:hAnsi="Calibri" w:cs="Calibri"/>
          <w:color w:val="292B2C"/>
          <w:sz w:val="24"/>
          <w:szCs w:val="24"/>
          <w:shd w:val="clear" w:color="auto" w:fill="FFFFFF"/>
          <w:lang w:eastAsia="cs-CZ"/>
        </w:rPr>
        <w:t xml:space="preserve"> Jeho</w:t>
      </w:r>
      <w:r w:rsidRPr="00BA44FD">
        <w:rPr>
          <w:rFonts w:ascii="Calibri" w:eastAsia="Times New Roman" w:hAnsi="Calibri" w:cs="Calibri"/>
          <w:sz w:val="24"/>
          <w:szCs w:val="24"/>
          <w:shd w:val="clear" w:color="auto" w:fill="FFFFFF"/>
          <w:lang w:eastAsia="cs-CZ"/>
        </w:rPr>
        <w:t xml:space="preserve"> vybavení umožňuje podporu více jednotek PO nebo složek IZS mimo dosah zdroje elektrické energie, pitné vody, užitkové vody apod. při zachování možnos</w:t>
      </w:r>
      <w:r>
        <w:rPr>
          <w:rFonts w:ascii="Calibri" w:eastAsia="Times New Roman" w:hAnsi="Calibri" w:cs="Calibri"/>
          <w:sz w:val="24"/>
          <w:szCs w:val="24"/>
          <w:shd w:val="clear" w:color="auto" w:fill="FFFFFF"/>
          <w:lang w:eastAsia="cs-CZ"/>
        </w:rPr>
        <w:t>ti dodržet základní hygienické standardy</w:t>
      </w:r>
      <w:r w:rsidRPr="00BA44FD">
        <w:rPr>
          <w:rFonts w:ascii="Calibri" w:eastAsia="Times New Roman" w:hAnsi="Calibri" w:cs="Calibri"/>
          <w:sz w:val="24"/>
          <w:szCs w:val="24"/>
          <w:shd w:val="clear" w:color="auto" w:fill="FFFFFF"/>
          <w:lang w:eastAsia="cs-CZ"/>
        </w:rPr>
        <w:t>, možnosti ohřevu teplých jídel atd.</w:t>
      </w:r>
    </w:p>
    <w:p w:rsidR="00F507E3" w:rsidRPr="00BA44FD" w:rsidRDefault="00F507E3" w:rsidP="00F507E3">
      <w:pPr>
        <w:pStyle w:val="Odstavecseseznamem"/>
        <w:spacing w:before="120" w:after="0" w:line="240" w:lineRule="auto"/>
        <w:jc w:val="both"/>
        <w:rPr>
          <w:rFonts w:ascii="Calibri" w:hAnsi="Calibri" w:cs="Calibri"/>
        </w:rPr>
      </w:pPr>
    </w:p>
    <w:p w:rsidR="00136E7C" w:rsidRPr="00136E7C" w:rsidRDefault="00002738" w:rsidP="00136E7C">
      <w:pPr>
        <w:jc w:val="both"/>
        <w:rPr>
          <w:rFonts w:ascii="Calibri" w:hAnsi="Calibri" w:cs="Calibri"/>
          <w:sz w:val="24"/>
          <w:szCs w:val="24"/>
        </w:rPr>
      </w:pPr>
      <w:r w:rsidRPr="00136E7C">
        <w:rPr>
          <w:rFonts w:ascii="Calibri" w:hAnsi="Calibri" w:cs="Calibri"/>
          <w:sz w:val="24"/>
          <w:szCs w:val="24"/>
        </w:rPr>
        <w:t>Součástí KTY</w:t>
      </w:r>
      <w:r w:rsidR="00AC242C" w:rsidRPr="00136E7C">
        <w:rPr>
          <w:rFonts w:ascii="Calibri" w:hAnsi="Calibri" w:cs="Calibri"/>
          <w:sz w:val="24"/>
          <w:szCs w:val="24"/>
        </w:rPr>
        <w:t xml:space="preserve"> je </w:t>
      </w:r>
      <w:r w:rsidRPr="00136E7C">
        <w:rPr>
          <w:rFonts w:ascii="Calibri" w:hAnsi="Calibri" w:cs="Calibri"/>
          <w:sz w:val="24"/>
          <w:szCs w:val="24"/>
        </w:rPr>
        <w:t>prostor pro zasedání štábu velitele zásahu, který lze využít i pro stravování</w:t>
      </w:r>
      <w:r w:rsidR="00C018E4">
        <w:rPr>
          <w:rFonts w:ascii="Calibri" w:hAnsi="Calibri" w:cs="Calibri"/>
          <w:sz w:val="24"/>
          <w:szCs w:val="24"/>
        </w:rPr>
        <w:t>,</w:t>
      </w:r>
      <w:r w:rsidRPr="00136E7C">
        <w:rPr>
          <w:rFonts w:ascii="Calibri" w:hAnsi="Calibri" w:cs="Calibri"/>
          <w:sz w:val="24"/>
          <w:szCs w:val="24"/>
        </w:rPr>
        <w:t xml:space="preserve"> popř. pro odpočinek. Dále je k dispozici kuchyňka pro ohřev stravy, zázemí pro osobní hygienu</w:t>
      </w:r>
      <w:r w:rsidR="00F507E3" w:rsidRPr="00136E7C">
        <w:rPr>
          <w:rFonts w:ascii="Calibri" w:hAnsi="Calibri" w:cs="Calibri"/>
          <w:sz w:val="24"/>
          <w:szCs w:val="24"/>
        </w:rPr>
        <w:t xml:space="preserve"> se sprchou</w:t>
      </w:r>
      <w:r w:rsidRPr="00136E7C">
        <w:rPr>
          <w:rFonts w:ascii="Calibri" w:hAnsi="Calibri" w:cs="Calibri"/>
          <w:sz w:val="24"/>
          <w:szCs w:val="24"/>
        </w:rPr>
        <w:t xml:space="preserve"> a </w:t>
      </w:r>
      <w:r w:rsidR="00AC242C" w:rsidRPr="00136E7C">
        <w:rPr>
          <w:rFonts w:ascii="Calibri" w:hAnsi="Calibri" w:cs="Calibri"/>
          <w:sz w:val="24"/>
          <w:szCs w:val="24"/>
        </w:rPr>
        <w:t>WC</w:t>
      </w:r>
      <w:r w:rsidRPr="00136E7C">
        <w:rPr>
          <w:rFonts w:ascii="Calibri" w:hAnsi="Calibri" w:cs="Calibri"/>
          <w:sz w:val="24"/>
          <w:szCs w:val="24"/>
        </w:rPr>
        <w:t xml:space="preserve">.  Celý KTY je klimatizovaný  a vytápěný. </w:t>
      </w:r>
      <w:r w:rsidR="00AC242C" w:rsidRPr="00136E7C">
        <w:rPr>
          <w:rFonts w:ascii="Calibri" w:hAnsi="Calibri" w:cs="Calibri"/>
          <w:sz w:val="24"/>
          <w:szCs w:val="24"/>
        </w:rPr>
        <w:t xml:space="preserve"> </w:t>
      </w:r>
      <w:r w:rsidRPr="00136E7C">
        <w:rPr>
          <w:rFonts w:ascii="Calibri" w:hAnsi="Calibri" w:cs="Calibri"/>
          <w:sz w:val="24"/>
          <w:szCs w:val="24"/>
        </w:rPr>
        <w:t>Disponuje samostatným zdrojem elektrické energie – třífázovou elektrocentrálou</w:t>
      </w:r>
      <w:r w:rsidR="00BA44FD" w:rsidRPr="00136E7C">
        <w:rPr>
          <w:rFonts w:ascii="Calibri" w:hAnsi="Calibri" w:cs="Calibri"/>
          <w:sz w:val="24"/>
          <w:szCs w:val="24"/>
        </w:rPr>
        <w:t xml:space="preserve"> o výkonu 17 </w:t>
      </w:r>
      <w:proofErr w:type="spellStart"/>
      <w:r w:rsidR="00BA44FD" w:rsidRPr="00136E7C">
        <w:rPr>
          <w:rFonts w:ascii="Calibri" w:hAnsi="Calibri" w:cs="Calibri"/>
          <w:sz w:val="24"/>
          <w:szCs w:val="24"/>
        </w:rPr>
        <w:t>kVA</w:t>
      </w:r>
      <w:proofErr w:type="spellEnd"/>
      <w:r w:rsidR="00AC242C" w:rsidRPr="00136E7C">
        <w:rPr>
          <w:rFonts w:ascii="Calibri" w:hAnsi="Calibri" w:cs="Calibri"/>
          <w:sz w:val="24"/>
          <w:szCs w:val="24"/>
        </w:rPr>
        <w:t xml:space="preserve">. </w:t>
      </w:r>
      <w:r w:rsidR="00136E7C" w:rsidRPr="00136E7C">
        <w:rPr>
          <w:rFonts w:ascii="Calibri" w:eastAsia="Times New Roman" w:hAnsi="Calibri" w:cs="Calibri"/>
          <w:sz w:val="24"/>
          <w:szCs w:val="24"/>
          <w:lang w:eastAsia="cs-CZ"/>
        </w:rPr>
        <w:t>V centrálním zasedacím prostoru š</w:t>
      </w:r>
      <w:r w:rsidR="00C018E4">
        <w:rPr>
          <w:rFonts w:ascii="Calibri" w:eastAsia="Times New Roman" w:hAnsi="Calibri" w:cs="Calibri"/>
          <w:sz w:val="24"/>
          <w:szCs w:val="24"/>
          <w:lang w:eastAsia="cs-CZ"/>
        </w:rPr>
        <w:t>tábu je obklad stěn od výšky jednoho metru</w:t>
      </w:r>
      <w:r w:rsidR="00136E7C" w:rsidRPr="00136E7C">
        <w:rPr>
          <w:rFonts w:ascii="Calibri" w:eastAsia="Times New Roman" w:hAnsi="Calibri" w:cs="Calibri"/>
          <w:sz w:val="24"/>
          <w:szCs w:val="24"/>
          <w:lang w:eastAsia="cs-CZ"/>
        </w:rPr>
        <w:t xml:space="preserve"> výše opatřen samolepící p</w:t>
      </w:r>
      <w:r w:rsidR="00C018E4">
        <w:rPr>
          <w:rFonts w:ascii="Calibri" w:eastAsia="Times New Roman" w:hAnsi="Calibri" w:cs="Calibri"/>
          <w:sz w:val="24"/>
          <w:szCs w:val="24"/>
          <w:lang w:eastAsia="cs-CZ"/>
        </w:rPr>
        <w:t>opisovatelnou magnetickou fólií</w:t>
      </w:r>
      <w:r w:rsidR="00136E7C" w:rsidRPr="00136E7C">
        <w:rPr>
          <w:rFonts w:ascii="Calibri" w:eastAsia="Times New Roman" w:hAnsi="Calibri" w:cs="Calibri"/>
          <w:sz w:val="24"/>
          <w:szCs w:val="24"/>
          <w:lang w:eastAsia="cs-CZ"/>
        </w:rPr>
        <w:t>.</w:t>
      </w:r>
    </w:p>
    <w:p w:rsidR="004F6122" w:rsidRPr="00F507E3" w:rsidRDefault="004F6122" w:rsidP="00F507E3">
      <w:pPr>
        <w:jc w:val="both"/>
        <w:rPr>
          <w:rFonts w:ascii="Calibri" w:hAnsi="Calibri" w:cs="Calibri"/>
          <w:sz w:val="24"/>
          <w:szCs w:val="24"/>
        </w:rPr>
      </w:pPr>
      <w:r w:rsidRPr="00F507E3">
        <w:rPr>
          <w:rFonts w:ascii="Calibri" w:hAnsi="Calibri" w:cs="Calibri"/>
          <w:sz w:val="24"/>
          <w:szCs w:val="24"/>
        </w:rPr>
        <w:t>KTY se</w:t>
      </w:r>
      <w:r w:rsidR="00AC242C" w:rsidRPr="00F507E3">
        <w:rPr>
          <w:rFonts w:ascii="Calibri" w:hAnsi="Calibri" w:cs="Calibri"/>
          <w:sz w:val="24"/>
          <w:szCs w:val="24"/>
        </w:rPr>
        <w:t xml:space="preserve"> přeprav</w:t>
      </w:r>
      <w:r w:rsidRPr="00F507E3">
        <w:rPr>
          <w:rFonts w:ascii="Calibri" w:hAnsi="Calibri" w:cs="Calibri"/>
          <w:sz w:val="24"/>
          <w:szCs w:val="24"/>
        </w:rPr>
        <w:t>uje</w:t>
      </w:r>
      <w:r w:rsidR="00AC242C" w:rsidRPr="00F507E3">
        <w:rPr>
          <w:rFonts w:ascii="Calibri" w:hAnsi="Calibri" w:cs="Calibri"/>
          <w:sz w:val="24"/>
          <w:szCs w:val="24"/>
        </w:rPr>
        <w:t xml:space="preserve"> na</w:t>
      </w:r>
      <w:r w:rsidR="00F507E3">
        <w:rPr>
          <w:rFonts w:ascii="Calibri" w:hAnsi="Calibri" w:cs="Calibri"/>
          <w:sz w:val="24"/>
          <w:szCs w:val="24"/>
        </w:rPr>
        <w:t xml:space="preserve"> automobilovém</w:t>
      </w:r>
      <w:r w:rsidR="00AC242C" w:rsidRPr="00F507E3">
        <w:rPr>
          <w:rFonts w:ascii="Calibri" w:hAnsi="Calibri" w:cs="Calibri"/>
          <w:sz w:val="24"/>
          <w:szCs w:val="24"/>
        </w:rPr>
        <w:t xml:space="preserve"> kon</w:t>
      </w:r>
      <w:r w:rsidRPr="00F507E3">
        <w:rPr>
          <w:rFonts w:ascii="Calibri" w:hAnsi="Calibri" w:cs="Calibri"/>
          <w:sz w:val="24"/>
          <w:szCs w:val="24"/>
        </w:rPr>
        <w:t xml:space="preserve">tejnerovém nosiči </w:t>
      </w:r>
      <w:r w:rsidR="00F507E3" w:rsidRPr="00AC242C">
        <w:rPr>
          <w:rFonts w:ascii="Calibri" w:eastAsia="Times New Roman" w:hAnsi="Calibri" w:cs="Calibri"/>
          <w:sz w:val="24"/>
          <w:szCs w:val="24"/>
          <w:lang w:eastAsia="cs-CZ"/>
        </w:rPr>
        <w:t>s kontejnerovou technologií jednoramenného podélně uloženého háku</w:t>
      </w:r>
      <w:r w:rsidR="00F507E3" w:rsidRPr="00F507E3">
        <w:rPr>
          <w:rFonts w:ascii="Calibri" w:eastAsia="Times New Roman" w:hAnsi="Calibri" w:cs="Calibri"/>
          <w:sz w:val="24"/>
          <w:szCs w:val="24"/>
          <w:lang w:eastAsia="cs-CZ"/>
        </w:rPr>
        <w:t>, který je</w:t>
      </w:r>
      <w:r w:rsidR="00F507E3" w:rsidRPr="00F507E3">
        <w:rPr>
          <w:rFonts w:ascii="Calibri" w:hAnsi="Calibri" w:cs="Calibri"/>
          <w:sz w:val="24"/>
          <w:szCs w:val="24"/>
        </w:rPr>
        <w:t xml:space="preserve"> </w:t>
      </w:r>
      <w:r w:rsidRPr="00F507E3">
        <w:rPr>
          <w:rFonts w:ascii="Calibri" w:hAnsi="Calibri" w:cs="Calibri"/>
          <w:sz w:val="24"/>
          <w:szCs w:val="24"/>
        </w:rPr>
        <w:t xml:space="preserve">ve výbavě </w:t>
      </w:r>
      <w:r w:rsidR="00AC242C" w:rsidRPr="00F507E3">
        <w:rPr>
          <w:rFonts w:ascii="Calibri" w:hAnsi="Calibri" w:cs="Calibri"/>
          <w:sz w:val="24"/>
          <w:szCs w:val="24"/>
        </w:rPr>
        <w:t>HZS Olomouckého kraje</w:t>
      </w:r>
    </w:p>
    <w:p w:rsidR="00055CAE" w:rsidRPr="00055CAE" w:rsidRDefault="00055CAE" w:rsidP="00055CAE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cs-CZ"/>
        </w:rPr>
      </w:pPr>
      <w:r w:rsidRPr="00055CAE">
        <w:rPr>
          <w:rFonts w:ascii="Calibri" w:eastAsia="Times New Roman" w:hAnsi="Calibri" w:cs="Calibri"/>
          <w:b/>
          <w:sz w:val="24"/>
          <w:szCs w:val="24"/>
          <w:lang w:eastAsia="cs-CZ"/>
        </w:rPr>
        <w:t xml:space="preserve">KTY zakoupil Olomoucký kraj v počtu </w:t>
      </w:r>
      <w:r w:rsidR="00C018E4">
        <w:rPr>
          <w:rFonts w:ascii="Calibri" w:eastAsia="Times New Roman" w:hAnsi="Calibri" w:cs="Calibri"/>
          <w:b/>
          <w:sz w:val="24"/>
          <w:szCs w:val="24"/>
          <w:lang w:eastAsia="cs-CZ"/>
        </w:rPr>
        <w:t xml:space="preserve">4 kusů v ceně 12.932.480,- Kč, přičemž </w:t>
      </w:r>
      <w:r w:rsidRPr="00055CAE">
        <w:rPr>
          <w:rFonts w:ascii="Calibri" w:eastAsia="Times New Roman" w:hAnsi="Calibri" w:cs="Calibri"/>
          <w:b/>
          <w:sz w:val="24"/>
          <w:szCs w:val="24"/>
          <w:lang w:eastAsia="cs-CZ"/>
        </w:rPr>
        <w:t xml:space="preserve">cena za kus </w:t>
      </w:r>
      <w:r w:rsidR="00C018E4">
        <w:rPr>
          <w:rFonts w:ascii="Calibri" w:eastAsia="Times New Roman" w:hAnsi="Calibri" w:cs="Calibri"/>
          <w:b/>
          <w:sz w:val="24"/>
          <w:szCs w:val="24"/>
          <w:lang w:eastAsia="cs-CZ"/>
        </w:rPr>
        <w:t xml:space="preserve">činila </w:t>
      </w:r>
      <w:r w:rsidRPr="00055CAE">
        <w:rPr>
          <w:rFonts w:ascii="Calibri" w:eastAsia="Times New Roman" w:hAnsi="Calibri" w:cs="Calibri"/>
          <w:b/>
          <w:sz w:val="24"/>
          <w:szCs w:val="24"/>
          <w:lang w:eastAsia="cs-CZ"/>
        </w:rPr>
        <w:t xml:space="preserve">3.233.120,- Kč a daroval je </w:t>
      </w:r>
      <w:r w:rsidR="00C018E4">
        <w:rPr>
          <w:rFonts w:ascii="Calibri" w:eastAsia="Times New Roman" w:hAnsi="Calibri" w:cs="Calibri"/>
          <w:b/>
          <w:sz w:val="24"/>
          <w:szCs w:val="24"/>
          <w:lang w:eastAsia="cs-CZ"/>
        </w:rPr>
        <w:t xml:space="preserve">ve prospěch </w:t>
      </w:r>
      <w:r w:rsidRPr="00055CAE">
        <w:rPr>
          <w:rFonts w:ascii="Calibri" w:eastAsia="Times New Roman" w:hAnsi="Calibri" w:cs="Calibri"/>
          <w:b/>
          <w:sz w:val="24"/>
          <w:szCs w:val="24"/>
          <w:lang w:eastAsia="cs-CZ"/>
        </w:rPr>
        <w:t>HZS Olomouckého kraje.</w:t>
      </w:r>
    </w:p>
    <w:p w:rsidR="00055CAE" w:rsidRPr="00055CAE" w:rsidRDefault="00055CAE" w:rsidP="00055CAE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cs-CZ"/>
        </w:rPr>
      </w:pPr>
    </w:p>
    <w:p w:rsidR="00055CAE" w:rsidRPr="00BA44FD" w:rsidRDefault="00055CAE" w:rsidP="00055CAE">
      <w:pPr>
        <w:jc w:val="both"/>
        <w:rPr>
          <w:sz w:val="24"/>
          <w:szCs w:val="24"/>
        </w:rPr>
      </w:pPr>
      <w:r w:rsidRPr="00C018E4">
        <w:rPr>
          <w:sz w:val="24"/>
          <w:szCs w:val="24"/>
        </w:rPr>
        <w:t xml:space="preserve">Do této doby HZS Olomouckého kraje </w:t>
      </w:r>
      <w:r w:rsidR="00C018E4">
        <w:rPr>
          <w:sz w:val="24"/>
          <w:szCs w:val="24"/>
        </w:rPr>
        <w:t>ne</w:t>
      </w:r>
      <w:r w:rsidRPr="00C018E4">
        <w:rPr>
          <w:sz w:val="24"/>
          <w:szCs w:val="24"/>
        </w:rPr>
        <w:t>disponoval tímto odpovídajícím vybavením.</w:t>
      </w:r>
      <w:bookmarkStart w:id="0" w:name="_GoBack"/>
      <w:bookmarkEnd w:id="0"/>
      <w:r w:rsidRPr="00C018E4">
        <w:rPr>
          <w:sz w:val="24"/>
          <w:szCs w:val="24"/>
        </w:rPr>
        <w:t xml:space="preserve"> Kontejnery </w:t>
      </w:r>
      <w:r w:rsidR="00C018E4">
        <w:rPr>
          <w:sz w:val="24"/>
          <w:szCs w:val="24"/>
        </w:rPr>
        <w:t>budou</w:t>
      </w:r>
      <w:r w:rsidRPr="00C018E4">
        <w:rPr>
          <w:sz w:val="24"/>
          <w:szCs w:val="24"/>
        </w:rPr>
        <w:t xml:space="preserve"> umístěny na centrálních požárních stanicích Olomouc, Prostějov, Přerov a Šumperk.</w:t>
      </w:r>
    </w:p>
    <w:p w:rsidR="00AC242C" w:rsidRDefault="00AC242C"/>
    <w:p w:rsidR="00AC242C" w:rsidRDefault="00AC242C"/>
    <w:sectPr w:rsidR="00AC2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7325B"/>
    <w:multiLevelType w:val="multilevel"/>
    <w:tmpl w:val="1778DE42"/>
    <w:lvl w:ilvl="0">
      <w:start w:val="1"/>
      <w:numFmt w:val="decimal"/>
      <w:lvlText w:val="%1."/>
      <w:lvlJc w:val="left"/>
      <w:pPr>
        <w:tabs>
          <w:tab w:val="num" w:pos="397"/>
        </w:tabs>
        <w:ind w:left="624" w:hanging="340"/>
      </w:pPr>
    </w:lvl>
    <w:lvl w:ilvl="1">
      <w:start w:val="2"/>
      <w:numFmt w:val="decimal"/>
      <w:lvlText w:val="%1.%2."/>
      <w:lvlJc w:val="left"/>
      <w:pPr>
        <w:ind w:left="1381" w:hanging="360"/>
      </w:pPr>
      <w:rPr>
        <w:sz w:val="24"/>
      </w:rPr>
    </w:lvl>
    <w:lvl w:ilvl="2">
      <w:start w:val="1"/>
      <w:numFmt w:val="decimal"/>
      <w:lvlText w:val="%1.%2.%3."/>
      <w:lvlJc w:val="left"/>
      <w:pPr>
        <w:ind w:left="2478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3215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4312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5049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614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6883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7980" w:hanging="1800"/>
      </w:pPr>
      <w:rPr>
        <w:sz w:val="24"/>
      </w:rPr>
    </w:lvl>
  </w:abstractNum>
  <w:abstractNum w:abstractNumId="1" w15:restartNumberingAfterBreak="0">
    <w:nsid w:val="7BF00316"/>
    <w:multiLevelType w:val="hybridMultilevel"/>
    <w:tmpl w:val="D55A81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2C"/>
    <w:rsid w:val="00002738"/>
    <w:rsid w:val="00055CAE"/>
    <w:rsid w:val="00102B54"/>
    <w:rsid w:val="00136E7C"/>
    <w:rsid w:val="00311D40"/>
    <w:rsid w:val="004F6122"/>
    <w:rsid w:val="006006C9"/>
    <w:rsid w:val="00A14CD2"/>
    <w:rsid w:val="00A53776"/>
    <w:rsid w:val="00AC242C"/>
    <w:rsid w:val="00BA44FD"/>
    <w:rsid w:val="00C018E4"/>
    <w:rsid w:val="00CF0FBC"/>
    <w:rsid w:val="00F5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51A2"/>
  <w15:chartTrackingRefBased/>
  <w15:docId w15:val="{3808D8C0-6B2D-4ED9-BEF8-6ACD0E4B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Char">
    <w:name w:val="Základní text Char"/>
    <w:link w:val="Zkladntext"/>
    <w:qFormat/>
    <w:rsid w:val="00102B54"/>
    <w:rPr>
      <w:sz w:val="24"/>
    </w:rPr>
  </w:style>
  <w:style w:type="paragraph" w:styleId="Zkladntext">
    <w:name w:val="Body Text"/>
    <w:basedOn w:val="Normln"/>
    <w:link w:val="ZkladntextChar"/>
    <w:rsid w:val="00102B54"/>
    <w:pPr>
      <w:spacing w:after="0" w:line="240" w:lineRule="auto"/>
      <w:jc w:val="both"/>
    </w:pPr>
    <w:rPr>
      <w:sz w:val="24"/>
    </w:rPr>
  </w:style>
  <w:style w:type="character" w:customStyle="1" w:styleId="ZkladntextChar1">
    <w:name w:val="Základní text Char1"/>
    <w:basedOn w:val="Standardnpsmoodstavce"/>
    <w:uiPriority w:val="99"/>
    <w:semiHidden/>
    <w:rsid w:val="00102B54"/>
  </w:style>
  <w:style w:type="paragraph" w:styleId="Odstavecseseznamem">
    <w:name w:val="List Paragraph"/>
    <w:basedOn w:val="Normln"/>
    <w:uiPriority w:val="34"/>
    <w:qFormat/>
    <w:rsid w:val="00102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libor.popp</dc:creator>
  <cp:keywords/>
  <dc:description/>
  <cp:lastModifiedBy>lucie.balazova</cp:lastModifiedBy>
  <cp:revision>3</cp:revision>
  <dcterms:created xsi:type="dcterms:W3CDTF">2021-07-07T06:57:00Z</dcterms:created>
  <dcterms:modified xsi:type="dcterms:W3CDTF">2021-07-13T10:50:00Z</dcterms:modified>
</cp:coreProperties>
</file>