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688" w:rsidRPr="00783E70" w:rsidRDefault="00822688" w:rsidP="00783E70">
      <w:pPr>
        <w:spacing w:after="0" w:line="240" w:lineRule="auto"/>
        <w:jc w:val="both"/>
        <w:rPr>
          <w:rFonts w:ascii="Times New Roman" w:hAnsi="Times New Roman" w:cs="Times New Roman"/>
          <w:b/>
          <w:sz w:val="24"/>
          <w:szCs w:val="24"/>
        </w:rPr>
      </w:pPr>
      <w:r w:rsidRPr="00783E70">
        <w:rPr>
          <w:rFonts w:ascii="Times New Roman" w:hAnsi="Times New Roman" w:cs="Times New Roman"/>
          <w:b/>
          <w:sz w:val="24"/>
          <w:szCs w:val="24"/>
        </w:rPr>
        <w:t>Hodnoty nahodilého požárního zatížení pro účely začlenění provozovaných činností.</w:t>
      </w:r>
    </w:p>
    <w:p w:rsidR="00822688" w:rsidRPr="00783E70" w:rsidRDefault="00822688" w:rsidP="00783E70">
      <w:pPr>
        <w:spacing w:after="0" w:line="240" w:lineRule="auto"/>
        <w:jc w:val="both"/>
        <w:rPr>
          <w:rFonts w:ascii="Times New Roman" w:hAnsi="Times New Roman" w:cs="Times New Roman"/>
          <w:sz w:val="24"/>
          <w:szCs w:val="24"/>
          <w:vertAlign w:val="subscript"/>
        </w:rPr>
      </w:pPr>
    </w:p>
    <w:p w:rsidR="00822688" w:rsidRDefault="00822688" w:rsidP="00783E70">
      <w:pPr>
        <w:pStyle w:val="Normlnweb"/>
        <w:spacing w:before="0" w:beforeAutospacing="0" w:after="0" w:afterAutospacing="0"/>
        <w:jc w:val="both"/>
      </w:pPr>
      <w:r w:rsidRPr="00783E70">
        <w:t>Na tyto a podobné rozpory jsem narážel v minulosti dosti často, dokonce jsem psal písemný dotaz na právní oddělení GŘ HZS ČR, odkud mě přišla jednoz</w:t>
      </w:r>
      <w:r w:rsidR="00783E70">
        <w:t>n</w:t>
      </w:r>
      <w:r w:rsidRPr="00783E70">
        <w:t>ačná odpověď, že „hodnoty nahodilého požárního zatížení pro účely členění činností podle požárního nebezpečí jsou uvedeny v příloze č. 2 vyhlášky č. 246/2001 Sb.“. Toto stanovisko jsem respektoval. Protože při semináři pro odborně způsobilé osoby a techniky požární ochrany v roce 2015 se mi velice líbil rozbor zaslaných dotazů, zkouším tuto problematiku znovu otevřít.</w:t>
      </w:r>
    </w:p>
    <w:p w:rsidR="00783E70" w:rsidRPr="00783E70" w:rsidRDefault="00783E70" w:rsidP="00783E70">
      <w:pPr>
        <w:pStyle w:val="Normlnweb"/>
        <w:spacing w:before="0" w:beforeAutospacing="0" w:after="0" w:afterAutospacing="0"/>
        <w:jc w:val="both"/>
      </w:pPr>
    </w:p>
    <w:p w:rsidR="00822688" w:rsidRDefault="00822688"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 xml:space="preserve">V ustanovení § 19 odst. 2 </w:t>
      </w:r>
      <w:proofErr w:type="spellStart"/>
      <w:r w:rsidRPr="00783E70">
        <w:rPr>
          <w:rFonts w:ascii="Times New Roman" w:hAnsi="Times New Roman" w:cs="Times New Roman"/>
          <w:sz w:val="24"/>
          <w:szCs w:val="24"/>
        </w:rPr>
        <w:t>vyhl</w:t>
      </w:r>
      <w:proofErr w:type="spellEnd"/>
      <w:r w:rsidRPr="00783E70">
        <w:rPr>
          <w:rFonts w:ascii="Times New Roman" w:hAnsi="Times New Roman" w:cs="Times New Roman"/>
          <w:sz w:val="24"/>
          <w:szCs w:val="24"/>
        </w:rPr>
        <w:t>. MV č. 246/2001 Sb. (dále jen vyhláška) je uvedeno, že „hodnoty nahodilého požárního zatížení pro účely členění činností podle požárního nebezpečí jsou uvedeny v příloze č. 2 (dále jen příloha) této vyhlášky.</w:t>
      </w:r>
    </w:p>
    <w:p w:rsidR="00783E70" w:rsidRPr="00783E70" w:rsidRDefault="00783E70" w:rsidP="00783E70">
      <w:pPr>
        <w:spacing w:after="0" w:line="240" w:lineRule="auto"/>
        <w:jc w:val="both"/>
        <w:rPr>
          <w:rFonts w:ascii="Times New Roman" w:hAnsi="Times New Roman" w:cs="Times New Roman"/>
          <w:sz w:val="24"/>
          <w:szCs w:val="24"/>
        </w:rPr>
      </w:pPr>
    </w:p>
    <w:p w:rsidR="00822688" w:rsidRDefault="00822688"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V současné době je běžná praxe taková, že se pro potřeby začlenění používají výhradně tabulkové hodnoty uvedené v příloze. Takový postup ale není objektivní. Jako příklad uvádím sklady lisovaného sena a skladování obilného či jiného zrna nebo krmných směsí s obsahem zrna v zásobnících na sypké hmoty. Nahodilé požární zatížení skladu lisovaného sena docela určitě není 60 kg/m</w:t>
      </w:r>
      <w:r w:rsidRPr="00783E70">
        <w:rPr>
          <w:rFonts w:ascii="Times New Roman" w:hAnsi="Times New Roman" w:cs="Times New Roman"/>
          <w:sz w:val="24"/>
          <w:szCs w:val="24"/>
          <w:vertAlign w:val="superscript"/>
        </w:rPr>
        <w:t>2</w:t>
      </w:r>
      <w:r w:rsidRPr="00783E70">
        <w:rPr>
          <w:rFonts w:ascii="Times New Roman" w:hAnsi="Times New Roman" w:cs="Times New Roman"/>
          <w:sz w:val="24"/>
          <w:szCs w:val="24"/>
        </w:rPr>
        <w:t xml:space="preserve">. Jednoduchým výpočtem ve smyslu ČSN 73 0802 zjistíme, že hodnota </w:t>
      </w:r>
      <w:proofErr w:type="spellStart"/>
      <w:r w:rsidRPr="00783E70">
        <w:rPr>
          <w:rFonts w:ascii="Times New Roman" w:hAnsi="Times New Roman" w:cs="Times New Roman"/>
          <w:sz w:val="24"/>
          <w:szCs w:val="24"/>
        </w:rPr>
        <w:t>p</w:t>
      </w:r>
      <w:r w:rsidRPr="00783E70">
        <w:rPr>
          <w:rFonts w:ascii="Times New Roman" w:hAnsi="Times New Roman" w:cs="Times New Roman"/>
          <w:sz w:val="24"/>
          <w:szCs w:val="24"/>
          <w:vertAlign w:val="subscript"/>
        </w:rPr>
        <w:t>n</w:t>
      </w:r>
      <w:proofErr w:type="spellEnd"/>
      <w:r w:rsidRPr="00783E70">
        <w:rPr>
          <w:rFonts w:ascii="Times New Roman" w:hAnsi="Times New Roman" w:cs="Times New Roman"/>
          <w:sz w:val="24"/>
          <w:szCs w:val="24"/>
        </w:rPr>
        <w:t xml:space="preserve"> v případě skladování lisovaného sena např. v pěti vrstvách je docela určitě vyšší než 150 kg/m</w:t>
      </w:r>
      <w:r w:rsidRPr="00783E70">
        <w:rPr>
          <w:rFonts w:ascii="Times New Roman" w:hAnsi="Times New Roman" w:cs="Times New Roman"/>
          <w:sz w:val="24"/>
          <w:szCs w:val="24"/>
          <w:vertAlign w:val="superscript"/>
        </w:rPr>
        <w:t>2</w:t>
      </w:r>
      <w:r w:rsidRPr="00783E70">
        <w:rPr>
          <w:rFonts w:ascii="Times New Roman" w:hAnsi="Times New Roman" w:cs="Times New Roman"/>
          <w:sz w:val="24"/>
          <w:szCs w:val="24"/>
        </w:rPr>
        <w:t>. V případě skladování zrna či krmných směsí s obsahem zrna v zásobnících na sypké hmoty jde o množství několik tun na několik málo m</w:t>
      </w:r>
      <w:r w:rsidRPr="00783E70">
        <w:rPr>
          <w:rFonts w:ascii="Times New Roman" w:hAnsi="Times New Roman" w:cs="Times New Roman"/>
          <w:sz w:val="24"/>
          <w:szCs w:val="24"/>
          <w:vertAlign w:val="superscript"/>
        </w:rPr>
        <w:t>2</w:t>
      </w:r>
      <w:r w:rsidRPr="00783E70">
        <w:rPr>
          <w:rFonts w:ascii="Times New Roman" w:hAnsi="Times New Roman" w:cs="Times New Roman"/>
          <w:sz w:val="24"/>
          <w:szCs w:val="24"/>
        </w:rPr>
        <w:t>.</w:t>
      </w:r>
    </w:p>
    <w:p w:rsidR="00783E70" w:rsidRPr="00783E70" w:rsidRDefault="00783E70" w:rsidP="00783E70">
      <w:pPr>
        <w:spacing w:after="0" w:line="240" w:lineRule="auto"/>
        <w:jc w:val="both"/>
        <w:rPr>
          <w:rFonts w:ascii="Times New Roman" w:hAnsi="Times New Roman" w:cs="Times New Roman"/>
          <w:sz w:val="24"/>
          <w:szCs w:val="24"/>
        </w:rPr>
      </w:pPr>
    </w:p>
    <w:p w:rsidR="00822688" w:rsidRPr="00783E70" w:rsidRDefault="00822688"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 xml:space="preserve">Příloha č. 2 k vyhlášce č. 246/2001 Sb., v prvním odstavci (před tabulkovými hodnotami </w:t>
      </w:r>
      <w:proofErr w:type="spellStart"/>
      <w:r w:rsidRPr="00783E70">
        <w:rPr>
          <w:rFonts w:ascii="Times New Roman" w:hAnsi="Times New Roman" w:cs="Times New Roman"/>
          <w:sz w:val="24"/>
          <w:szCs w:val="24"/>
        </w:rPr>
        <w:t>p</w:t>
      </w:r>
      <w:r w:rsidRPr="00783E70">
        <w:rPr>
          <w:rFonts w:ascii="Times New Roman" w:hAnsi="Times New Roman" w:cs="Times New Roman"/>
          <w:sz w:val="24"/>
          <w:szCs w:val="24"/>
          <w:vertAlign w:val="subscript"/>
        </w:rPr>
        <w:t>n</w:t>
      </w:r>
      <w:proofErr w:type="spellEnd"/>
      <w:r w:rsidRPr="00783E70">
        <w:rPr>
          <w:rFonts w:ascii="Times New Roman" w:hAnsi="Times New Roman" w:cs="Times New Roman"/>
          <w:sz w:val="24"/>
          <w:szCs w:val="24"/>
        </w:rPr>
        <w:t xml:space="preserve">) uvádí, že „Hodnoty nahodilého požárního zatížení … uvedené v následující tabulce … </w:t>
      </w:r>
      <w:r w:rsidRPr="00783E70">
        <w:rPr>
          <w:rFonts w:ascii="Times New Roman" w:hAnsi="Times New Roman" w:cs="Times New Roman"/>
          <w:sz w:val="24"/>
          <w:szCs w:val="24"/>
          <w:u w:val="single"/>
        </w:rPr>
        <w:t>lze</w:t>
      </w:r>
      <w:r w:rsidRPr="00783E70">
        <w:rPr>
          <w:rFonts w:ascii="Times New Roman" w:hAnsi="Times New Roman" w:cs="Times New Roman"/>
          <w:sz w:val="24"/>
          <w:szCs w:val="24"/>
        </w:rPr>
        <w:t xml:space="preserve"> použít bez dalšího průkazu o skutečném stavu nahodilého požárního zatížení“. To znamená, že nemusím nutně použít pouze tabulkové hodnoty, ale i hodnoty zjištěné „dalším průkazem“, např. uvedeným výpočtem nahodilého požárního zatížení, nebo údajem ze schváleného PBŘ.</w:t>
      </w:r>
    </w:p>
    <w:p w:rsidR="00822688" w:rsidRPr="00783E70" w:rsidRDefault="00822688"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 xml:space="preserve">Odst. 2 § 19 vyhlášky navíc uvádí, že je možné použít hodnotu </w:t>
      </w:r>
      <w:proofErr w:type="spellStart"/>
      <w:r w:rsidRPr="00783E70">
        <w:rPr>
          <w:rFonts w:ascii="Times New Roman" w:hAnsi="Times New Roman" w:cs="Times New Roman"/>
          <w:sz w:val="24"/>
          <w:szCs w:val="24"/>
        </w:rPr>
        <w:t>p</w:t>
      </w:r>
      <w:r w:rsidRPr="00783E70">
        <w:rPr>
          <w:rFonts w:ascii="Times New Roman" w:hAnsi="Times New Roman" w:cs="Times New Roman"/>
          <w:sz w:val="24"/>
          <w:szCs w:val="24"/>
          <w:vertAlign w:val="subscript"/>
        </w:rPr>
        <w:t>n</w:t>
      </w:r>
      <w:proofErr w:type="spellEnd"/>
      <w:r w:rsidRPr="00783E70">
        <w:rPr>
          <w:rFonts w:ascii="Times New Roman" w:hAnsi="Times New Roman" w:cs="Times New Roman"/>
          <w:sz w:val="24"/>
          <w:szCs w:val="24"/>
        </w:rPr>
        <w:t xml:space="preserve"> provozně a funkčně srovnatelného druhu provozu. To znamená, že mohu použít výpočet </w:t>
      </w:r>
      <w:proofErr w:type="spellStart"/>
      <w:r w:rsidRPr="00783E70">
        <w:rPr>
          <w:rFonts w:ascii="Times New Roman" w:hAnsi="Times New Roman" w:cs="Times New Roman"/>
          <w:sz w:val="24"/>
          <w:szCs w:val="24"/>
        </w:rPr>
        <w:t>p</w:t>
      </w:r>
      <w:r w:rsidRPr="00783E70">
        <w:rPr>
          <w:rFonts w:ascii="Times New Roman" w:hAnsi="Times New Roman" w:cs="Times New Roman"/>
          <w:sz w:val="24"/>
          <w:szCs w:val="24"/>
          <w:vertAlign w:val="subscript"/>
        </w:rPr>
        <w:t>n</w:t>
      </w:r>
      <w:proofErr w:type="spellEnd"/>
      <w:r w:rsidRPr="00783E70">
        <w:rPr>
          <w:rFonts w:ascii="Times New Roman" w:hAnsi="Times New Roman" w:cs="Times New Roman"/>
          <w:sz w:val="24"/>
          <w:szCs w:val="24"/>
        </w:rPr>
        <w:t xml:space="preserve"> ve smyslu poznámky v čl. 13.8.3 přílohy i pro objekty zemědělské výroby uvedené pod pol. 13. 9 (v případě skladování zrna či krmných směsí v zásobníku na sypké hmoty).</w:t>
      </w:r>
    </w:p>
    <w:p w:rsidR="00822688" w:rsidRPr="00783E70" w:rsidRDefault="00822688" w:rsidP="00783E70">
      <w:pPr>
        <w:pStyle w:val="Normlnweb"/>
        <w:spacing w:before="0" w:beforeAutospacing="0" w:after="0" w:afterAutospacing="0"/>
        <w:jc w:val="both"/>
      </w:pPr>
    </w:p>
    <w:p w:rsidR="00A74373" w:rsidRDefault="00A74373" w:rsidP="00A74373">
      <w:pPr>
        <w:spacing w:after="0" w:line="240" w:lineRule="auto"/>
        <w:jc w:val="both"/>
        <w:rPr>
          <w:rFonts w:ascii="Times New Roman" w:hAnsi="Times New Roman" w:cs="Times New Roman"/>
          <w:b/>
          <w:color w:val="0070C0"/>
          <w:sz w:val="24"/>
          <w:szCs w:val="24"/>
        </w:rPr>
      </w:pPr>
      <w:r w:rsidRPr="00A74373">
        <w:rPr>
          <w:rFonts w:ascii="Times New Roman" w:hAnsi="Times New Roman" w:cs="Times New Roman"/>
          <w:b/>
          <w:color w:val="0070C0"/>
          <w:sz w:val="24"/>
          <w:szCs w:val="24"/>
        </w:rPr>
        <w:t xml:space="preserve">Můžeme s Vámi souhlasit, že ne vždy hodnoty uvedené v Příloze č. 2 zcela přesně vyjadřují skutečný stav. Bohužel znění § 19 vyhlášky o požární prevenci je jasné a nelze s ním nějak zvlášť polemizovat. Vlastní výpočet či výpočet obsažený v PBŘ však můžete využít </w:t>
      </w:r>
      <w:r w:rsidRPr="00A74373">
        <w:rPr>
          <w:rFonts w:ascii="Times New Roman" w:hAnsi="Times New Roman" w:cs="Times New Roman"/>
          <w:b/>
          <w:color w:val="0070C0"/>
          <w:sz w:val="24"/>
          <w:szCs w:val="24"/>
          <w:u w:val="single"/>
        </w:rPr>
        <w:t>jako pomůcku</w:t>
      </w:r>
      <w:r w:rsidRPr="00A74373">
        <w:rPr>
          <w:rFonts w:ascii="Times New Roman" w:hAnsi="Times New Roman" w:cs="Times New Roman"/>
          <w:b/>
          <w:color w:val="0070C0"/>
          <w:sz w:val="24"/>
          <w:szCs w:val="24"/>
        </w:rPr>
        <w:t xml:space="preserve"> v případě, že přiřazení konkrétní položky z Přílohy č. 2 nebude jednoznačné. Postup by měl být asi takový, že OZO by se měl na začátku seznámit se skutečným stavem provozu (především pak s množstvím a způsobem výskytu hořlavých látek), pokud je to možné s hodnotou uvedenou v PBŘ a poté tyto údaje srovnat s použitelnými hodnotami uvedenými v Příloze č. 2. To by mělo zaručit, že hodnoty </w:t>
      </w:r>
      <w:proofErr w:type="spellStart"/>
      <w:r w:rsidRPr="00A74373">
        <w:rPr>
          <w:rFonts w:ascii="Times New Roman" w:hAnsi="Times New Roman" w:cs="Times New Roman"/>
          <w:b/>
          <w:color w:val="0070C0"/>
          <w:sz w:val="24"/>
          <w:szCs w:val="24"/>
        </w:rPr>
        <w:t>pn</w:t>
      </w:r>
      <w:proofErr w:type="spellEnd"/>
      <w:r w:rsidRPr="00A74373">
        <w:rPr>
          <w:rFonts w:ascii="Times New Roman" w:hAnsi="Times New Roman" w:cs="Times New Roman"/>
          <w:b/>
          <w:color w:val="0070C0"/>
          <w:sz w:val="24"/>
          <w:szCs w:val="24"/>
        </w:rPr>
        <w:t xml:space="preserve"> uvedené v PBŘ se nebudou diametrálně lišit od hodnot </w:t>
      </w:r>
      <w:proofErr w:type="spellStart"/>
      <w:r w:rsidRPr="00A74373">
        <w:rPr>
          <w:rFonts w:ascii="Times New Roman" w:hAnsi="Times New Roman" w:cs="Times New Roman"/>
          <w:b/>
          <w:color w:val="0070C0"/>
          <w:sz w:val="24"/>
          <w:szCs w:val="24"/>
        </w:rPr>
        <w:t>pn</w:t>
      </w:r>
      <w:proofErr w:type="spellEnd"/>
      <w:r w:rsidRPr="00A74373">
        <w:rPr>
          <w:rFonts w:ascii="Times New Roman" w:hAnsi="Times New Roman" w:cs="Times New Roman"/>
          <w:b/>
          <w:color w:val="0070C0"/>
          <w:sz w:val="24"/>
          <w:szCs w:val="24"/>
        </w:rPr>
        <w:t xml:space="preserve"> použitých pro potřeby začlenění. Ve vyhlášce je dále reagováno i na stavy, kde se předpokládá výskyt hořlavých látek ve větším množství (např. skladování) – navýšení hodnoty, nebo výpočet.</w:t>
      </w:r>
    </w:p>
    <w:p w:rsidR="00A74373" w:rsidRDefault="00A74373" w:rsidP="00A74373">
      <w:pPr>
        <w:spacing w:after="0" w:line="240" w:lineRule="auto"/>
        <w:jc w:val="both"/>
        <w:rPr>
          <w:rFonts w:ascii="Times New Roman" w:hAnsi="Times New Roman" w:cs="Times New Roman"/>
          <w:b/>
          <w:color w:val="0070C0"/>
          <w:sz w:val="24"/>
          <w:szCs w:val="24"/>
        </w:rPr>
      </w:pPr>
    </w:p>
    <w:p w:rsidR="00A74373" w:rsidRPr="00A74373" w:rsidRDefault="00A74373" w:rsidP="00A74373">
      <w:pPr>
        <w:spacing w:after="0" w:line="240" w:lineRule="auto"/>
        <w:jc w:val="both"/>
        <w:rPr>
          <w:rFonts w:ascii="Times New Roman" w:hAnsi="Times New Roman" w:cs="Times New Roman"/>
          <w:b/>
          <w:color w:val="0070C0"/>
          <w:sz w:val="24"/>
          <w:szCs w:val="24"/>
        </w:rPr>
      </w:pPr>
      <w:r>
        <w:rPr>
          <w:rFonts w:ascii="Times New Roman" w:hAnsi="Times New Roman" w:cs="Times New Roman"/>
          <w:b/>
          <w:color w:val="0070C0"/>
          <w:sz w:val="24"/>
          <w:szCs w:val="24"/>
        </w:rPr>
        <w:t xml:space="preserve">Co se týká prvního odstavce Přílohy č. 2, myslíme si, že nejde o správný výklad tohoto ustanovení. Naopak se zde říká, že </w:t>
      </w:r>
      <w:r w:rsidR="00AF5E5F">
        <w:rPr>
          <w:rFonts w:ascii="Times New Roman" w:hAnsi="Times New Roman" w:cs="Times New Roman"/>
          <w:b/>
          <w:color w:val="0070C0"/>
          <w:sz w:val="24"/>
          <w:szCs w:val="24"/>
        </w:rPr>
        <w:t>právě proto, že</w:t>
      </w:r>
      <w:r w:rsidR="009A2D61">
        <w:rPr>
          <w:rFonts w:ascii="Times New Roman" w:hAnsi="Times New Roman" w:cs="Times New Roman"/>
          <w:b/>
          <w:color w:val="0070C0"/>
          <w:sz w:val="24"/>
          <w:szCs w:val="24"/>
        </w:rPr>
        <w:t xml:space="preserve"> </w:t>
      </w:r>
      <w:r w:rsidR="00AF5E5F">
        <w:rPr>
          <w:rFonts w:ascii="Times New Roman" w:hAnsi="Times New Roman" w:cs="Times New Roman"/>
          <w:b/>
          <w:color w:val="0070C0"/>
          <w:sz w:val="24"/>
          <w:szCs w:val="24"/>
        </w:rPr>
        <w:t>jste</w:t>
      </w:r>
      <w:r w:rsidR="00AF5E5F">
        <w:rPr>
          <w:rFonts w:ascii="Times New Roman" w:hAnsi="Times New Roman" w:cs="Times New Roman"/>
          <w:b/>
          <w:color w:val="0070C0"/>
          <w:sz w:val="24"/>
          <w:szCs w:val="24"/>
        </w:rPr>
        <w:t xml:space="preserve"> </w:t>
      </w:r>
      <w:r w:rsidR="009A2D61">
        <w:rPr>
          <w:rFonts w:ascii="Times New Roman" w:hAnsi="Times New Roman" w:cs="Times New Roman"/>
          <w:b/>
          <w:color w:val="0070C0"/>
          <w:sz w:val="24"/>
          <w:szCs w:val="24"/>
        </w:rPr>
        <w:t>pro potřeby začlenění nucen použít hodnoty uvedené v této příloze, můžete tyto hodnoty považovat za reprezentativní pro daný druh provozu a již nemusíte žádným způsobem prokazovat, že je tomu skutečně tak, tj. pokud použijete hodnotu uvedenou v příloze, nevadí, že zcela neodpovídá např. hodnotě uvedené v PBŘ.</w:t>
      </w:r>
    </w:p>
    <w:p w:rsidR="00822688" w:rsidRPr="00783E70" w:rsidRDefault="00822688" w:rsidP="00783E70">
      <w:pPr>
        <w:spacing w:after="0" w:line="240" w:lineRule="auto"/>
        <w:jc w:val="both"/>
        <w:rPr>
          <w:rFonts w:ascii="Times New Roman" w:hAnsi="Times New Roman" w:cs="Times New Roman"/>
          <w:b/>
          <w:sz w:val="24"/>
          <w:szCs w:val="24"/>
        </w:rPr>
      </w:pPr>
      <w:r w:rsidRPr="00783E70">
        <w:rPr>
          <w:rFonts w:ascii="Times New Roman" w:hAnsi="Times New Roman" w:cs="Times New Roman"/>
          <w:b/>
          <w:sz w:val="24"/>
          <w:szCs w:val="24"/>
        </w:rPr>
        <w:lastRenderedPageBreak/>
        <w:t>Začlenění skladování vyjetých olejů mezi činnosti se zvýšeným požárním nebezpečím.</w:t>
      </w:r>
    </w:p>
    <w:p w:rsidR="00783E70" w:rsidRPr="00783E70" w:rsidRDefault="00783E70" w:rsidP="00783E70">
      <w:pPr>
        <w:spacing w:after="0" w:line="240" w:lineRule="auto"/>
        <w:jc w:val="both"/>
        <w:rPr>
          <w:rFonts w:ascii="Times New Roman" w:hAnsi="Times New Roman" w:cs="Times New Roman"/>
          <w:sz w:val="24"/>
          <w:szCs w:val="24"/>
        </w:rPr>
      </w:pPr>
    </w:p>
    <w:p w:rsidR="00822688" w:rsidRPr="00783E70" w:rsidRDefault="00822688"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 xml:space="preserve">V nedávné době jsem se setkal s tím, že kontrolní orgán HZS požadoval začlenění skladování vyjetých olejů mezi činnosti se zvýšeným požárním nebezpečím nejen podle písm. e) § 4 odst. 2 zák. č. 133/1985 Sb. o požární ochraně (dále jen zákon), ale v případě vyjetých olejů v množství přesahujícím 250 litrů i podle písm. a) § 4 odst. 2 zákona. </w:t>
      </w:r>
    </w:p>
    <w:p w:rsidR="00822688" w:rsidRDefault="00822688"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Pokud bychom postupovali při začlenění pouze ve smyslu zákona, není možné skladování vyjetých olejů v uvedeném množství začlenit i podle písm. a) § 4 odst. 2 zákona, protože vyjeté oleje nejsou klasifikovány zvláštním právním předpisem upravujícím oblast chemických látek ani přímo použitelným předpisem Evropské unie. Alespoň to není možné doložit, protože k nim není k dispozici (na rozdíl od dodávaných „nových, nepoužitých“ olejů) bezpečnostní list. Vyjeté oleje není možné hodnotit jako oleje „nepoužité“ protože mají jiné vlastnosti, proto také se provádí jejich výměna.</w:t>
      </w:r>
    </w:p>
    <w:p w:rsidR="00C53245" w:rsidRDefault="00C53245" w:rsidP="00783E70">
      <w:pPr>
        <w:spacing w:after="0" w:line="240" w:lineRule="auto"/>
        <w:jc w:val="both"/>
        <w:rPr>
          <w:rFonts w:ascii="Times New Roman" w:hAnsi="Times New Roman" w:cs="Times New Roman"/>
          <w:sz w:val="24"/>
          <w:szCs w:val="24"/>
        </w:rPr>
      </w:pPr>
    </w:p>
    <w:p w:rsidR="00822688" w:rsidRPr="0044104B" w:rsidRDefault="00C53245" w:rsidP="00783E70">
      <w:pPr>
        <w:spacing w:after="0" w:line="240" w:lineRule="auto"/>
        <w:jc w:val="both"/>
        <w:rPr>
          <w:rFonts w:ascii="Times New Roman" w:hAnsi="Times New Roman" w:cs="Times New Roman"/>
          <w:b/>
          <w:color w:val="0070C0"/>
          <w:sz w:val="24"/>
          <w:szCs w:val="24"/>
        </w:rPr>
      </w:pPr>
      <w:r w:rsidRPr="0044104B">
        <w:rPr>
          <w:rFonts w:ascii="Times New Roman" w:hAnsi="Times New Roman" w:cs="Times New Roman"/>
          <w:b/>
          <w:color w:val="0070C0"/>
          <w:sz w:val="24"/>
          <w:szCs w:val="24"/>
        </w:rPr>
        <w:t xml:space="preserve">Máte pravdu. Skladování vyjetých olejů nelze považovat za činnost se zvýšeným požárním nebezpečím ve smyslu ustanovení </w:t>
      </w:r>
      <w:r w:rsidRPr="009A2D61">
        <w:rPr>
          <w:rFonts w:ascii="Times New Roman" w:hAnsi="Times New Roman" w:cs="Times New Roman"/>
          <w:b/>
          <w:color w:val="0070C0"/>
          <w:sz w:val="24"/>
          <w:szCs w:val="24"/>
          <w:u w:val="single"/>
        </w:rPr>
        <w:t>§ 4 odst. 2 písm. a) zákona o PO</w:t>
      </w:r>
      <w:r w:rsidRPr="0044104B">
        <w:rPr>
          <w:rFonts w:ascii="Times New Roman" w:hAnsi="Times New Roman" w:cs="Times New Roman"/>
          <w:b/>
          <w:color w:val="0070C0"/>
          <w:sz w:val="24"/>
          <w:szCs w:val="24"/>
        </w:rPr>
        <w:t xml:space="preserve"> a to přesně z důvod</w:t>
      </w:r>
      <w:r w:rsidR="009A2D61">
        <w:rPr>
          <w:rFonts w:ascii="Times New Roman" w:hAnsi="Times New Roman" w:cs="Times New Roman"/>
          <w:b/>
          <w:color w:val="0070C0"/>
          <w:sz w:val="24"/>
          <w:szCs w:val="24"/>
        </w:rPr>
        <w:t>ů</w:t>
      </w:r>
      <w:r w:rsidRPr="0044104B">
        <w:rPr>
          <w:rFonts w:ascii="Times New Roman" w:hAnsi="Times New Roman" w:cs="Times New Roman"/>
          <w:b/>
          <w:color w:val="0070C0"/>
          <w:sz w:val="24"/>
          <w:szCs w:val="24"/>
        </w:rPr>
        <w:t>,</w:t>
      </w:r>
      <w:r w:rsidR="0044104B" w:rsidRPr="0044104B">
        <w:rPr>
          <w:rFonts w:ascii="Times New Roman" w:hAnsi="Times New Roman" w:cs="Times New Roman"/>
          <w:b/>
          <w:color w:val="0070C0"/>
          <w:sz w:val="24"/>
          <w:szCs w:val="24"/>
        </w:rPr>
        <w:t xml:space="preserve"> které uvádíte, </w:t>
      </w:r>
      <w:r w:rsidR="00CE7249">
        <w:rPr>
          <w:rFonts w:ascii="Times New Roman" w:hAnsi="Times New Roman" w:cs="Times New Roman"/>
          <w:b/>
          <w:color w:val="0070C0"/>
          <w:sz w:val="24"/>
          <w:szCs w:val="24"/>
        </w:rPr>
        <w:t>tj.</w:t>
      </w:r>
      <w:r w:rsidRPr="0044104B">
        <w:rPr>
          <w:rFonts w:ascii="Times New Roman" w:hAnsi="Times New Roman" w:cs="Times New Roman"/>
          <w:b/>
          <w:color w:val="0070C0"/>
          <w:sz w:val="24"/>
          <w:szCs w:val="24"/>
        </w:rPr>
        <w:t xml:space="preserve"> nejedná </w:t>
      </w:r>
      <w:r w:rsidR="00CE7249">
        <w:rPr>
          <w:rFonts w:ascii="Times New Roman" w:hAnsi="Times New Roman" w:cs="Times New Roman"/>
          <w:b/>
          <w:color w:val="0070C0"/>
          <w:sz w:val="24"/>
          <w:szCs w:val="24"/>
        </w:rPr>
        <w:t xml:space="preserve">se </w:t>
      </w:r>
      <w:r w:rsidRPr="0044104B">
        <w:rPr>
          <w:rFonts w:ascii="Times New Roman" w:hAnsi="Times New Roman" w:cs="Times New Roman"/>
          <w:b/>
          <w:color w:val="0070C0"/>
          <w:sz w:val="24"/>
          <w:szCs w:val="24"/>
        </w:rPr>
        <w:t>o látky klasifikované d</w:t>
      </w:r>
      <w:r w:rsidR="0044104B" w:rsidRPr="0044104B">
        <w:rPr>
          <w:rFonts w:ascii="Times New Roman" w:hAnsi="Times New Roman" w:cs="Times New Roman"/>
          <w:b/>
          <w:color w:val="0070C0"/>
          <w:sz w:val="24"/>
          <w:szCs w:val="24"/>
        </w:rPr>
        <w:t>le zvláštních právních předpisů. Jestliže k takovému požadavku ze strany HZS KVK došlo, byl tento požadavek chybný.</w:t>
      </w:r>
    </w:p>
    <w:p w:rsidR="0044104B" w:rsidRDefault="0044104B" w:rsidP="00783E70">
      <w:pPr>
        <w:spacing w:after="0" w:line="240" w:lineRule="auto"/>
        <w:jc w:val="both"/>
        <w:rPr>
          <w:rFonts w:ascii="Times New Roman" w:hAnsi="Times New Roman" w:cs="Times New Roman"/>
          <w:sz w:val="24"/>
          <w:szCs w:val="24"/>
        </w:rPr>
      </w:pPr>
    </w:p>
    <w:p w:rsidR="0044104B" w:rsidRPr="00783E70" w:rsidRDefault="0044104B" w:rsidP="00783E70">
      <w:pPr>
        <w:spacing w:after="0" w:line="240" w:lineRule="auto"/>
        <w:jc w:val="both"/>
        <w:rPr>
          <w:rFonts w:ascii="Times New Roman" w:hAnsi="Times New Roman" w:cs="Times New Roman"/>
          <w:sz w:val="24"/>
          <w:szCs w:val="24"/>
        </w:rPr>
      </w:pPr>
    </w:p>
    <w:p w:rsidR="00822688" w:rsidRPr="00783E70" w:rsidRDefault="00822688" w:rsidP="00783E70">
      <w:pPr>
        <w:spacing w:after="0" w:line="240" w:lineRule="auto"/>
        <w:jc w:val="both"/>
        <w:rPr>
          <w:rFonts w:ascii="Times New Roman" w:hAnsi="Times New Roman" w:cs="Times New Roman"/>
          <w:sz w:val="24"/>
          <w:szCs w:val="24"/>
        </w:rPr>
      </w:pPr>
    </w:p>
    <w:p w:rsidR="00822688" w:rsidRPr="00783E70" w:rsidRDefault="00822688" w:rsidP="00783E70">
      <w:pPr>
        <w:spacing w:after="0" w:line="240" w:lineRule="auto"/>
        <w:jc w:val="both"/>
        <w:rPr>
          <w:rFonts w:ascii="Times New Roman" w:hAnsi="Times New Roman" w:cs="Times New Roman"/>
          <w:b/>
          <w:sz w:val="24"/>
          <w:szCs w:val="24"/>
        </w:rPr>
      </w:pPr>
      <w:r w:rsidRPr="00783E70">
        <w:rPr>
          <w:rFonts w:ascii="Times New Roman" w:hAnsi="Times New Roman" w:cs="Times New Roman"/>
          <w:b/>
          <w:sz w:val="24"/>
          <w:szCs w:val="24"/>
        </w:rPr>
        <w:t>Jak zpracovat dokumentaci PO v případě, že ve stejných prostorech provozují činnosti se zvýšeným požárním nebezpečím dva subjekty. Jako příklad uvádím dvě situace:</w:t>
      </w:r>
    </w:p>
    <w:p w:rsidR="00783E70" w:rsidRPr="00783E70" w:rsidRDefault="00783E70" w:rsidP="00783E70">
      <w:pPr>
        <w:spacing w:after="0" w:line="240" w:lineRule="auto"/>
        <w:jc w:val="both"/>
        <w:rPr>
          <w:rFonts w:ascii="Times New Roman" w:hAnsi="Times New Roman" w:cs="Times New Roman"/>
          <w:sz w:val="24"/>
          <w:szCs w:val="24"/>
        </w:rPr>
      </w:pPr>
    </w:p>
    <w:p w:rsidR="00822688" w:rsidRPr="00783E70" w:rsidRDefault="00822688"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Právnická osoba vlastní administrativní budovu, ve které provozuje i ubytovnu pro více než 20 osob. Provozování ubytovny je začleněno mezi činnosti se zvýšeným požárním nebezpečím ve smyslu ustanovení § odst. 2 písm. h) zákona o požární ochraně a provozovatel má zpracovanou zákonem požadovanou dokumentaci. V době letních prázdnin si ubytovnu pronajme další právnická osoba, která zde provozuje dětský tábor.</w:t>
      </w:r>
    </w:p>
    <w:p w:rsidR="00822688" w:rsidRPr="00783E70" w:rsidRDefault="00822688"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Právnická osoba vlastní výrobní objekt a provozuje zde mimo jiné chemickou výrobu uvedenou v příloze č. 2 pol. 13.3.7 vyhlášky o požární prevenci. Tato činnost je začleněna mezi činnosti se zvýšeným požárním nebezpečím ve smyslu ustanovení § odst. 2 písm. a)</w:t>
      </w:r>
      <w:r w:rsidR="00413145">
        <w:rPr>
          <w:rFonts w:ascii="Times New Roman" w:hAnsi="Times New Roman" w:cs="Times New Roman"/>
          <w:sz w:val="24"/>
          <w:szCs w:val="24"/>
        </w:rPr>
        <w:t xml:space="preserve"> </w:t>
      </w:r>
      <w:r w:rsidRPr="00783E70">
        <w:rPr>
          <w:rFonts w:ascii="Times New Roman" w:hAnsi="Times New Roman" w:cs="Times New Roman"/>
          <w:sz w:val="24"/>
          <w:szCs w:val="24"/>
        </w:rPr>
        <w:t>c)</w:t>
      </w:r>
      <w:r w:rsidR="00413145">
        <w:rPr>
          <w:rFonts w:ascii="Times New Roman" w:hAnsi="Times New Roman" w:cs="Times New Roman"/>
          <w:sz w:val="24"/>
          <w:szCs w:val="24"/>
        </w:rPr>
        <w:t xml:space="preserve"> </w:t>
      </w:r>
      <w:r w:rsidRPr="00783E70">
        <w:rPr>
          <w:rFonts w:ascii="Times New Roman" w:hAnsi="Times New Roman" w:cs="Times New Roman"/>
          <w:sz w:val="24"/>
          <w:szCs w:val="24"/>
        </w:rPr>
        <w:t>e)</w:t>
      </w:r>
      <w:r w:rsidR="00413145">
        <w:rPr>
          <w:rFonts w:ascii="Times New Roman" w:hAnsi="Times New Roman" w:cs="Times New Roman"/>
          <w:sz w:val="24"/>
          <w:szCs w:val="24"/>
        </w:rPr>
        <w:t xml:space="preserve"> </w:t>
      </w:r>
      <w:r w:rsidRPr="00783E70">
        <w:rPr>
          <w:rFonts w:ascii="Times New Roman" w:hAnsi="Times New Roman" w:cs="Times New Roman"/>
          <w:sz w:val="24"/>
          <w:szCs w:val="24"/>
        </w:rPr>
        <w:t>j) zákona o požární ochraně a provozovatel má zpracovanou zákonem požadovanou dokumentaci. Část výroby provozuje v nepravidelných intervalech další subjekt - podnikající fyzická osoba.</w:t>
      </w:r>
    </w:p>
    <w:p w:rsidR="00822688" w:rsidRPr="00783E70" w:rsidRDefault="00822688" w:rsidP="00783E70">
      <w:pPr>
        <w:pStyle w:val="Nadpis4"/>
        <w:spacing w:before="0" w:beforeAutospacing="0" w:after="0" w:afterAutospacing="0"/>
        <w:jc w:val="both"/>
        <w:rPr>
          <w:b w:val="0"/>
          <w:kern w:val="36"/>
        </w:rPr>
      </w:pPr>
      <w:r w:rsidRPr="00783E70">
        <w:rPr>
          <w:b w:val="0"/>
        </w:rPr>
        <w:t>Je v těchto případech možné postupovat ve smyslu metodického stanoviska „</w:t>
      </w:r>
      <w:r w:rsidRPr="00783E70">
        <w:rPr>
          <w:b w:val="0"/>
          <w:kern w:val="36"/>
        </w:rPr>
        <w:t>Zajištění požární ochrany ve stavbách, ve kterých provozuje činnost více právnických nebo podnikajících osob“, které je dispozici na stránkách GŘ HZS ČR? Je například možné, aby část dokumentace, kterou mají zpracovanou majitelé uvedených objektů, byla platná i pro další provozovatele?</w:t>
      </w:r>
    </w:p>
    <w:p w:rsidR="00CF7E39" w:rsidRPr="00783E70" w:rsidRDefault="00CF7E39" w:rsidP="00783E70">
      <w:pPr>
        <w:pStyle w:val="Nadpis4"/>
        <w:spacing w:before="0" w:beforeAutospacing="0" w:after="0" w:afterAutospacing="0"/>
        <w:jc w:val="both"/>
        <w:rPr>
          <w:b w:val="0"/>
          <w:kern w:val="36"/>
        </w:rPr>
      </w:pPr>
    </w:p>
    <w:p w:rsidR="00CF7E39" w:rsidRPr="00413145" w:rsidRDefault="00413145" w:rsidP="00783E70">
      <w:pPr>
        <w:pStyle w:val="Nadpis4"/>
        <w:spacing w:before="0" w:beforeAutospacing="0" w:after="0" w:afterAutospacing="0"/>
        <w:jc w:val="both"/>
        <w:rPr>
          <w:color w:val="0070C0"/>
          <w:kern w:val="36"/>
        </w:rPr>
      </w:pPr>
      <w:r w:rsidRPr="00413145">
        <w:rPr>
          <w:color w:val="0070C0"/>
          <w:kern w:val="36"/>
        </w:rPr>
        <w:t>Je to možné a v některých případech dokonce žádoucí. Typickým příkladem jsou např. provozovatelé kulturních sálů, velká obchodní centra se samostatnými menšími prodejci, sportovní arény. U těchto činností by samostatné stanovení některých podmínek požární bezpečnosti bylo problematické a neefektivní. Jedná se např. o podmínky požární bezpečnosti spojené s vyhlášením požárního poplachu, s evakuací osob, s udržováním PHP či PBZ, nebo se zpracováním DZP. Při „přebírání“ některých podmínek požární bezpečnosti, které jsou uvedeny v dokumentaci požární ochrany, však musí dojít k úpravě tohoto stavu smluvně. Smlouva by zde měla být písemná, aby šlo plnění povinností na úseku požární ochrany ze strany dotčeného subjektu v případě nutnosti prokázat.</w:t>
      </w:r>
    </w:p>
    <w:p w:rsidR="00783E70" w:rsidRPr="00783E70" w:rsidRDefault="00783E70" w:rsidP="00783E70">
      <w:pPr>
        <w:spacing w:after="0" w:line="240" w:lineRule="auto"/>
        <w:jc w:val="both"/>
        <w:rPr>
          <w:rFonts w:ascii="Times New Roman" w:hAnsi="Times New Roman" w:cs="Times New Roman"/>
          <w:sz w:val="24"/>
          <w:szCs w:val="24"/>
        </w:rPr>
      </w:pPr>
    </w:p>
    <w:p w:rsidR="00783E70" w:rsidRPr="00783E70" w:rsidRDefault="00783E70" w:rsidP="00783E70">
      <w:pPr>
        <w:spacing w:after="0" w:line="240" w:lineRule="auto"/>
        <w:jc w:val="both"/>
        <w:rPr>
          <w:rFonts w:ascii="Times New Roman" w:hAnsi="Times New Roman" w:cs="Times New Roman"/>
          <w:sz w:val="24"/>
          <w:szCs w:val="24"/>
        </w:rPr>
      </w:pPr>
    </w:p>
    <w:p w:rsidR="00624631" w:rsidRDefault="00783E70"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lastRenderedPageBreak/>
        <w:t xml:space="preserve">Prosím o zhodnocení mateřských školek.  </w:t>
      </w:r>
    </w:p>
    <w:p w:rsidR="00783E70" w:rsidRPr="00783E70" w:rsidRDefault="00783E70"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Pokud mám MŠ s dětm</w:t>
      </w:r>
      <w:r w:rsidR="00624631">
        <w:rPr>
          <w:rFonts w:ascii="Times New Roman" w:hAnsi="Times New Roman" w:cs="Times New Roman"/>
          <w:sz w:val="24"/>
          <w:szCs w:val="24"/>
        </w:rPr>
        <w:t xml:space="preserve">i od tří let. Hodnotí se bez </w:t>
      </w:r>
      <w:r w:rsidRPr="00783E70">
        <w:rPr>
          <w:rFonts w:ascii="Times New Roman" w:hAnsi="Times New Roman" w:cs="Times New Roman"/>
          <w:sz w:val="24"/>
          <w:szCs w:val="24"/>
        </w:rPr>
        <w:t xml:space="preserve">zvýšeného požárního nebezpečí. </w:t>
      </w:r>
    </w:p>
    <w:p w:rsidR="00783E70" w:rsidRPr="00783E70" w:rsidRDefault="00783E70"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 xml:space="preserve">Pokud mám ve třídě do 12 dětí mladších tří let a nedojde k jejich navýšení, hodnotí se bez </w:t>
      </w:r>
    </w:p>
    <w:p w:rsidR="00783E70" w:rsidRPr="00783E70" w:rsidRDefault="00783E70"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 xml:space="preserve">zvýšeného požárního nebezpečí. </w:t>
      </w:r>
    </w:p>
    <w:p w:rsidR="00783E70" w:rsidRPr="00783E70" w:rsidRDefault="00783E70"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 xml:space="preserve">Pokud mám ve třídě více jak 12 dětí mladších tří let, musí se provést přehodnocení stavby   </w:t>
      </w:r>
    </w:p>
    <w:p w:rsidR="00783E70" w:rsidRDefault="00783E70"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s projektantem a zpracovatelem PBŘ?</w:t>
      </w:r>
    </w:p>
    <w:p w:rsidR="00AF5E5F" w:rsidRDefault="00AF5E5F" w:rsidP="00783E70">
      <w:pPr>
        <w:spacing w:after="0" w:line="240" w:lineRule="auto"/>
        <w:jc w:val="both"/>
        <w:rPr>
          <w:rFonts w:ascii="Times New Roman" w:hAnsi="Times New Roman" w:cs="Times New Roman"/>
          <w:sz w:val="24"/>
          <w:szCs w:val="24"/>
        </w:rPr>
      </w:pPr>
    </w:p>
    <w:p w:rsidR="00B445B4" w:rsidRPr="00AF5E5F" w:rsidRDefault="00624631" w:rsidP="00B445B4">
      <w:pPr>
        <w:spacing w:after="0" w:line="240" w:lineRule="auto"/>
        <w:jc w:val="both"/>
        <w:rPr>
          <w:rFonts w:ascii="Times New Roman" w:hAnsi="Times New Roman" w:cs="Times New Roman"/>
          <w:b/>
          <w:color w:val="0070C0"/>
          <w:sz w:val="24"/>
          <w:szCs w:val="24"/>
        </w:rPr>
      </w:pPr>
      <w:r w:rsidRPr="00AF5E5F">
        <w:rPr>
          <w:rFonts w:ascii="Times New Roman" w:hAnsi="Times New Roman" w:cs="Times New Roman"/>
          <w:b/>
          <w:color w:val="0070C0"/>
          <w:sz w:val="24"/>
          <w:szCs w:val="24"/>
        </w:rPr>
        <w:t xml:space="preserve">Pokud je stávající mateřská škola a nezvyšuje se u ní počet dětí o více než 12, pak se hodnocení z hlediska PBS nevyžaduje. </w:t>
      </w:r>
    </w:p>
    <w:p w:rsidR="00B445B4" w:rsidRDefault="00624631" w:rsidP="00B445B4">
      <w:pPr>
        <w:spacing w:after="0" w:line="240" w:lineRule="auto"/>
        <w:jc w:val="both"/>
        <w:rPr>
          <w:rFonts w:ascii="Times New Roman" w:hAnsi="Times New Roman" w:cs="Times New Roman"/>
          <w:color w:val="0070C0"/>
          <w:sz w:val="24"/>
          <w:szCs w:val="24"/>
        </w:rPr>
      </w:pPr>
      <w:r w:rsidRPr="00AF5E5F">
        <w:rPr>
          <w:rFonts w:ascii="Times New Roman" w:hAnsi="Times New Roman" w:cs="Times New Roman"/>
          <w:b/>
          <w:color w:val="0070C0"/>
          <w:sz w:val="24"/>
          <w:szCs w:val="24"/>
        </w:rPr>
        <w:t>Pokud je navýšena kapacita školky o 12 a více osob, pak je nutné zhodnocení z hlediska PBS</w:t>
      </w:r>
      <w:r w:rsidR="00B445B4" w:rsidRPr="00AF5E5F">
        <w:rPr>
          <w:rFonts w:ascii="Times New Roman" w:hAnsi="Times New Roman" w:cs="Times New Roman"/>
          <w:b/>
          <w:color w:val="0070C0"/>
          <w:sz w:val="24"/>
          <w:szCs w:val="24"/>
        </w:rPr>
        <w:t>.</w:t>
      </w:r>
    </w:p>
    <w:p w:rsidR="00624631" w:rsidRPr="00624631" w:rsidRDefault="00B445B4" w:rsidP="00B445B4">
      <w:pPr>
        <w:spacing w:after="0" w:line="240" w:lineRule="auto"/>
        <w:jc w:val="both"/>
        <w:rPr>
          <w:rFonts w:ascii="Times New Roman" w:hAnsi="Times New Roman" w:cs="Times New Roman"/>
          <w:color w:val="0070C0"/>
          <w:sz w:val="24"/>
          <w:szCs w:val="24"/>
        </w:rPr>
      </w:pPr>
      <w:r>
        <w:rPr>
          <w:rFonts w:ascii="Times New Roman" w:hAnsi="Times New Roman" w:cs="Times New Roman"/>
          <w:color w:val="0070C0"/>
          <w:sz w:val="24"/>
          <w:szCs w:val="24"/>
        </w:rPr>
        <w:t xml:space="preserve"> </w:t>
      </w:r>
    </w:p>
    <w:p w:rsidR="00783E70" w:rsidRDefault="00783E70" w:rsidP="00783E70">
      <w:pPr>
        <w:spacing w:after="0" w:line="240" w:lineRule="auto"/>
        <w:jc w:val="both"/>
        <w:rPr>
          <w:rFonts w:ascii="Times New Roman" w:hAnsi="Times New Roman" w:cs="Times New Roman"/>
          <w:sz w:val="24"/>
          <w:szCs w:val="24"/>
        </w:rPr>
      </w:pPr>
    </w:p>
    <w:p w:rsidR="00AF5E5F" w:rsidRPr="00783E70" w:rsidRDefault="00AF5E5F" w:rsidP="00783E70">
      <w:pPr>
        <w:spacing w:after="0" w:line="240" w:lineRule="auto"/>
        <w:jc w:val="both"/>
        <w:rPr>
          <w:rFonts w:ascii="Times New Roman" w:hAnsi="Times New Roman" w:cs="Times New Roman"/>
          <w:sz w:val="24"/>
          <w:szCs w:val="24"/>
        </w:rPr>
      </w:pPr>
    </w:p>
    <w:p w:rsidR="00783E70" w:rsidRDefault="00783E70" w:rsidP="00783E70">
      <w:pPr>
        <w:spacing w:after="0" w:line="240" w:lineRule="auto"/>
        <w:jc w:val="both"/>
        <w:rPr>
          <w:rFonts w:ascii="Times New Roman" w:hAnsi="Times New Roman" w:cs="Times New Roman"/>
          <w:sz w:val="24"/>
          <w:szCs w:val="24"/>
        </w:rPr>
      </w:pPr>
      <w:r w:rsidRPr="00783E70">
        <w:rPr>
          <w:rFonts w:ascii="Times New Roman" w:hAnsi="Times New Roman" w:cs="Times New Roman"/>
          <w:sz w:val="24"/>
          <w:szCs w:val="24"/>
        </w:rPr>
        <w:t>Lze v autoservisu na servisní dílně, kde se provádí prohlídky, běžná údržba apod. bez použití a přítomnosti svářecí soupravy a přítomnosti jiných zdrojů zapálení, použít kamna na vyjetý olej?</w:t>
      </w:r>
    </w:p>
    <w:p w:rsidR="00B445B4" w:rsidRDefault="00B445B4" w:rsidP="00783E70">
      <w:pPr>
        <w:spacing w:after="0" w:line="240" w:lineRule="auto"/>
        <w:jc w:val="both"/>
        <w:rPr>
          <w:rFonts w:ascii="Times New Roman" w:hAnsi="Times New Roman" w:cs="Times New Roman"/>
          <w:sz w:val="24"/>
          <w:szCs w:val="24"/>
        </w:rPr>
      </w:pPr>
    </w:p>
    <w:p w:rsidR="00B445B4" w:rsidRPr="00AF5E5F" w:rsidRDefault="00B445B4" w:rsidP="00783E70">
      <w:pPr>
        <w:spacing w:after="0" w:line="240" w:lineRule="auto"/>
        <w:jc w:val="both"/>
        <w:rPr>
          <w:rFonts w:ascii="Times New Roman" w:hAnsi="Times New Roman" w:cs="Times New Roman"/>
          <w:b/>
          <w:color w:val="0070C0"/>
          <w:sz w:val="24"/>
          <w:szCs w:val="24"/>
        </w:rPr>
      </w:pPr>
      <w:r w:rsidRPr="00AF5E5F">
        <w:rPr>
          <w:rFonts w:ascii="Times New Roman" w:hAnsi="Times New Roman" w:cs="Times New Roman"/>
          <w:b/>
          <w:color w:val="0070C0"/>
          <w:sz w:val="24"/>
          <w:szCs w:val="24"/>
        </w:rPr>
        <w:t>Dle ustanovení ČSN 061008 v prostorech garáží je možné umístit spotřebiče k tomuto účelu použití schválené.  U servisů pro motorová vozidla nesmějí být umístěné spotřebiče na pevná paliva, otevřené spo</w:t>
      </w:r>
      <w:r w:rsidR="00AF5E5F" w:rsidRPr="00AF5E5F">
        <w:rPr>
          <w:rFonts w:ascii="Times New Roman" w:hAnsi="Times New Roman" w:cs="Times New Roman"/>
          <w:b/>
          <w:color w:val="0070C0"/>
          <w:sz w:val="24"/>
          <w:szCs w:val="24"/>
        </w:rPr>
        <w:t xml:space="preserve">třebiče (spalinová komora není </w:t>
      </w:r>
      <w:r w:rsidRPr="00AF5E5F">
        <w:rPr>
          <w:rFonts w:ascii="Times New Roman" w:hAnsi="Times New Roman" w:cs="Times New Roman"/>
          <w:b/>
          <w:color w:val="0070C0"/>
          <w:sz w:val="24"/>
          <w:szCs w:val="24"/>
        </w:rPr>
        <w:t>v</w:t>
      </w:r>
      <w:r w:rsidR="00AF5E5F" w:rsidRPr="00AF5E5F">
        <w:rPr>
          <w:rFonts w:ascii="Times New Roman" w:hAnsi="Times New Roman" w:cs="Times New Roman"/>
          <w:b/>
          <w:color w:val="0070C0"/>
          <w:sz w:val="24"/>
          <w:szCs w:val="24"/>
        </w:rPr>
        <w:t>z</w:t>
      </w:r>
      <w:r w:rsidRPr="00AF5E5F">
        <w:rPr>
          <w:rFonts w:ascii="Times New Roman" w:hAnsi="Times New Roman" w:cs="Times New Roman"/>
          <w:b/>
          <w:color w:val="0070C0"/>
          <w:sz w:val="24"/>
          <w:szCs w:val="24"/>
        </w:rPr>
        <w:t>duchotěsně oddělena od prostoru</w:t>
      </w:r>
      <w:r w:rsidR="003131A7" w:rsidRPr="00AF5E5F">
        <w:rPr>
          <w:rFonts w:ascii="Times New Roman" w:hAnsi="Times New Roman" w:cs="Times New Roman"/>
          <w:b/>
          <w:color w:val="0070C0"/>
          <w:sz w:val="24"/>
          <w:szCs w:val="24"/>
        </w:rPr>
        <w:t>, kde je spotřebič umístěn</w:t>
      </w:r>
      <w:r w:rsidRPr="00AF5E5F">
        <w:rPr>
          <w:rFonts w:ascii="Times New Roman" w:hAnsi="Times New Roman" w:cs="Times New Roman"/>
          <w:b/>
          <w:color w:val="0070C0"/>
          <w:sz w:val="24"/>
          <w:szCs w:val="24"/>
        </w:rPr>
        <w:t>) a zářiče. Pokud výrobce deklaruje, že uvedený spotřebič je určen pro vytápění servisů pro motorová vozidla, je nutné toto skutečnost prokázat (prohlášení o shodě, protokol o certifikaci výrobku, prohlášení o vlastnostech výrobku</w:t>
      </w:r>
      <w:r w:rsidR="003131A7" w:rsidRPr="00AF5E5F">
        <w:rPr>
          <w:rFonts w:ascii="Times New Roman" w:hAnsi="Times New Roman" w:cs="Times New Roman"/>
          <w:b/>
          <w:color w:val="0070C0"/>
          <w:sz w:val="24"/>
          <w:szCs w:val="24"/>
        </w:rPr>
        <w:t>)</w:t>
      </w:r>
      <w:r w:rsidRPr="00AF5E5F">
        <w:rPr>
          <w:rFonts w:ascii="Times New Roman" w:hAnsi="Times New Roman" w:cs="Times New Roman"/>
          <w:b/>
          <w:color w:val="0070C0"/>
          <w:sz w:val="24"/>
          <w:szCs w:val="24"/>
        </w:rPr>
        <w:t xml:space="preserve">. </w:t>
      </w:r>
    </w:p>
    <w:p w:rsidR="00783E70" w:rsidRPr="00783E70" w:rsidRDefault="00783E70" w:rsidP="00783E70">
      <w:pPr>
        <w:spacing w:after="0" w:line="240" w:lineRule="auto"/>
        <w:jc w:val="both"/>
        <w:rPr>
          <w:rFonts w:ascii="Times New Roman" w:hAnsi="Times New Roman" w:cs="Times New Roman"/>
          <w:sz w:val="24"/>
          <w:szCs w:val="24"/>
        </w:rPr>
      </w:pPr>
    </w:p>
    <w:p w:rsidR="00783E70" w:rsidRDefault="00783E70" w:rsidP="00783E70">
      <w:pPr>
        <w:spacing w:after="0" w:line="240" w:lineRule="auto"/>
        <w:jc w:val="both"/>
        <w:rPr>
          <w:rFonts w:ascii="Times New Roman" w:hAnsi="Times New Roman" w:cs="Times New Roman"/>
          <w:sz w:val="24"/>
          <w:szCs w:val="24"/>
        </w:rPr>
      </w:pPr>
    </w:p>
    <w:p w:rsidR="00AF5E5F" w:rsidRPr="00783E70" w:rsidRDefault="00AF5E5F" w:rsidP="00783E70">
      <w:pPr>
        <w:spacing w:after="0" w:line="240" w:lineRule="auto"/>
        <w:jc w:val="both"/>
        <w:rPr>
          <w:rFonts w:ascii="Times New Roman" w:hAnsi="Times New Roman" w:cs="Times New Roman"/>
          <w:sz w:val="24"/>
          <w:szCs w:val="24"/>
        </w:rPr>
      </w:pPr>
    </w:p>
    <w:p w:rsidR="00783E70" w:rsidRDefault="00413145" w:rsidP="00783E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Ubytovací zařízení - v</w:t>
      </w:r>
      <w:r w:rsidR="00783E70" w:rsidRPr="00783E70">
        <w:rPr>
          <w:rFonts w:ascii="Times New Roman" w:hAnsi="Times New Roman" w:cs="Times New Roman"/>
          <w:sz w:val="24"/>
          <w:szCs w:val="24"/>
        </w:rPr>
        <w:t> PBŘ je stanoveno, že ubytovací zaříz</w:t>
      </w:r>
      <w:r>
        <w:rPr>
          <w:rFonts w:ascii="Times New Roman" w:hAnsi="Times New Roman" w:cs="Times New Roman"/>
          <w:sz w:val="24"/>
          <w:szCs w:val="24"/>
        </w:rPr>
        <w:t xml:space="preserve">ení má např. 17 lůžek. Je možné, aby mohlo být </w:t>
      </w:r>
      <w:r w:rsidR="00783E70" w:rsidRPr="00783E70">
        <w:rPr>
          <w:rFonts w:ascii="Times New Roman" w:hAnsi="Times New Roman" w:cs="Times New Roman"/>
          <w:sz w:val="24"/>
          <w:szCs w:val="24"/>
        </w:rPr>
        <w:t xml:space="preserve">v zařízení 20 lůžek, nebo je striktně dáno pouze 17 lůžek? </w:t>
      </w:r>
    </w:p>
    <w:p w:rsidR="003131A7" w:rsidRDefault="003131A7" w:rsidP="00783E70">
      <w:pPr>
        <w:spacing w:after="0" w:line="240" w:lineRule="auto"/>
        <w:jc w:val="both"/>
        <w:rPr>
          <w:rFonts w:ascii="Times New Roman" w:hAnsi="Times New Roman" w:cs="Times New Roman"/>
          <w:sz w:val="24"/>
          <w:szCs w:val="24"/>
        </w:rPr>
      </w:pPr>
    </w:p>
    <w:p w:rsidR="003131A7" w:rsidRPr="00AF5E5F" w:rsidRDefault="003131A7" w:rsidP="00783E70">
      <w:pPr>
        <w:spacing w:after="0" w:line="240" w:lineRule="auto"/>
        <w:jc w:val="both"/>
        <w:rPr>
          <w:rFonts w:ascii="Times New Roman" w:hAnsi="Times New Roman" w:cs="Times New Roman"/>
          <w:b/>
          <w:color w:val="0070C0"/>
          <w:sz w:val="24"/>
          <w:szCs w:val="24"/>
        </w:rPr>
      </w:pPr>
      <w:r w:rsidRPr="00AF5E5F">
        <w:rPr>
          <w:rFonts w:ascii="Times New Roman" w:hAnsi="Times New Roman" w:cs="Times New Roman"/>
          <w:b/>
          <w:color w:val="0070C0"/>
          <w:sz w:val="24"/>
          <w:szCs w:val="24"/>
        </w:rPr>
        <w:t>PBŘ v tomto případě stanovuje podmínky – 17 lůžek.</w:t>
      </w:r>
      <w:r w:rsidR="005F01BD" w:rsidRPr="00AF5E5F">
        <w:rPr>
          <w:rFonts w:ascii="Times New Roman" w:hAnsi="Times New Roman" w:cs="Times New Roman"/>
          <w:b/>
          <w:color w:val="0070C0"/>
          <w:sz w:val="24"/>
          <w:szCs w:val="24"/>
        </w:rPr>
        <w:t xml:space="preserve"> Pokud počet lůžek nepřekročí 20, pak se nic zásadního neděje. Pokud by počet lůžek byl 21 a více, pak je zde řada požadavků (dělení do požárních úseků, stanovení mezní </w:t>
      </w:r>
      <w:proofErr w:type="spellStart"/>
      <w:r w:rsidR="005F01BD" w:rsidRPr="00AF5E5F">
        <w:rPr>
          <w:rFonts w:ascii="Times New Roman" w:hAnsi="Times New Roman" w:cs="Times New Roman"/>
          <w:b/>
          <w:color w:val="0070C0"/>
          <w:sz w:val="24"/>
          <w:szCs w:val="24"/>
        </w:rPr>
        <w:t>déklky</w:t>
      </w:r>
      <w:proofErr w:type="spellEnd"/>
      <w:r w:rsidR="005F01BD" w:rsidRPr="00AF5E5F">
        <w:rPr>
          <w:rFonts w:ascii="Times New Roman" w:hAnsi="Times New Roman" w:cs="Times New Roman"/>
          <w:b/>
          <w:color w:val="0070C0"/>
          <w:sz w:val="24"/>
          <w:szCs w:val="24"/>
        </w:rPr>
        <w:t xml:space="preserve"> NÚC…)</w:t>
      </w:r>
    </w:p>
    <w:p w:rsidR="00783E70" w:rsidRPr="00783E70" w:rsidRDefault="00783E70" w:rsidP="00783E70">
      <w:pPr>
        <w:spacing w:after="0" w:line="240" w:lineRule="auto"/>
        <w:jc w:val="both"/>
        <w:rPr>
          <w:rFonts w:ascii="Times New Roman" w:hAnsi="Times New Roman" w:cs="Times New Roman"/>
          <w:sz w:val="24"/>
          <w:szCs w:val="24"/>
        </w:rPr>
      </w:pPr>
    </w:p>
    <w:p w:rsidR="00CF7E39" w:rsidRPr="00783E70" w:rsidRDefault="00CF7E39" w:rsidP="00783E70">
      <w:pPr>
        <w:spacing w:after="0" w:line="240" w:lineRule="auto"/>
        <w:jc w:val="both"/>
        <w:rPr>
          <w:rFonts w:ascii="Times New Roman" w:hAnsi="Times New Roman" w:cs="Times New Roman"/>
          <w:sz w:val="24"/>
          <w:szCs w:val="24"/>
        </w:rPr>
      </w:pPr>
    </w:p>
    <w:p w:rsidR="00CF7E39" w:rsidRPr="00783E70" w:rsidRDefault="00CF7E39" w:rsidP="00783E70">
      <w:pPr>
        <w:spacing w:after="0" w:line="240" w:lineRule="auto"/>
        <w:jc w:val="both"/>
        <w:rPr>
          <w:rFonts w:ascii="Times New Roman" w:hAnsi="Times New Roman" w:cs="Times New Roman"/>
          <w:sz w:val="24"/>
          <w:szCs w:val="24"/>
        </w:rPr>
      </w:pPr>
    </w:p>
    <w:p w:rsidR="00CF7E39" w:rsidRPr="00783E70" w:rsidRDefault="00CF7E39" w:rsidP="00783E70">
      <w:pPr>
        <w:spacing w:after="0" w:line="240" w:lineRule="auto"/>
        <w:jc w:val="both"/>
        <w:rPr>
          <w:rFonts w:ascii="Times New Roman" w:hAnsi="Times New Roman" w:cs="Times New Roman"/>
          <w:sz w:val="24"/>
          <w:szCs w:val="24"/>
        </w:rPr>
      </w:pPr>
      <w:bookmarkStart w:id="0" w:name="_GoBack"/>
      <w:bookmarkEnd w:id="0"/>
    </w:p>
    <w:p w:rsidR="0017286F" w:rsidRPr="00783E70" w:rsidRDefault="0017286F" w:rsidP="00783E70">
      <w:pPr>
        <w:spacing w:after="0" w:line="240" w:lineRule="auto"/>
        <w:jc w:val="both"/>
        <w:rPr>
          <w:rFonts w:ascii="Times New Roman" w:hAnsi="Times New Roman" w:cs="Times New Roman"/>
          <w:sz w:val="24"/>
          <w:szCs w:val="24"/>
        </w:rPr>
      </w:pPr>
    </w:p>
    <w:sectPr w:rsidR="0017286F" w:rsidRPr="00783E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6B2FD2"/>
    <w:multiLevelType w:val="hybridMultilevel"/>
    <w:tmpl w:val="8174DC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4A3052B4"/>
    <w:multiLevelType w:val="hybridMultilevel"/>
    <w:tmpl w:val="EDBE1E0E"/>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nsid w:val="58724F25"/>
    <w:multiLevelType w:val="hybridMultilevel"/>
    <w:tmpl w:val="E8CEBA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5F796E4F"/>
    <w:multiLevelType w:val="hybridMultilevel"/>
    <w:tmpl w:val="14263C38"/>
    <w:lvl w:ilvl="0" w:tplc="33D023C8">
      <w:numFmt w:val="bullet"/>
      <w:lvlText w:val="-"/>
      <w:lvlJc w:val="left"/>
      <w:pPr>
        <w:ind w:left="720" w:hanging="360"/>
      </w:pPr>
      <w:rPr>
        <w:rFonts w:ascii="Calibri" w:eastAsia="Calibri" w:hAnsi="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nsid w:val="63236EE3"/>
    <w:multiLevelType w:val="hybridMultilevel"/>
    <w:tmpl w:val="D6A03108"/>
    <w:lvl w:ilvl="0" w:tplc="52DAD8D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6A1449D6"/>
    <w:multiLevelType w:val="hybridMultilevel"/>
    <w:tmpl w:val="11485E8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646"/>
    <w:rsid w:val="00020033"/>
    <w:rsid w:val="0017286F"/>
    <w:rsid w:val="001E0646"/>
    <w:rsid w:val="003131A7"/>
    <w:rsid w:val="00413145"/>
    <w:rsid w:val="004160AC"/>
    <w:rsid w:val="0044104B"/>
    <w:rsid w:val="005F01BD"/>
    <w:rsid w:val="00624631"/>
    <w:rsid w:val="00664001"/>
    <w:rsid w:val="00783E70"/>
    <w:rsid w:val="008063E3"/>
    <w:rsid w:val="00822688"/>
    <w:rsid w:val="0082345E"/>
    <w:rsid w:val="008F1DDA"/>
    <w:rsid w:val="009A2D61"/>
    <w:rsid w:val="00A74373"/>
    <w:rsid w:val="00AE740B"/>
    <w:rsid w:val="00AF5E5F"/>
    <w:rsid w:val="00B445B4"/>
    <w:rsid w:val="00B811A3"/>
    <w:rsid w:val="00C53245"/>
    <w:rsid w:val="00C63A35"/>
    <w:rsid w:val="00CC6941"/>
    <w:rsid w:val="00CE7249"/>
    <w:rsid w:val="00CF7E39"/>
    <w:rsid w:val="00F361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051389-5D92-469C-B06A-68777DC0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4">
    <w:name w:val="heading 4"/>
    <w:basedOn w:val="Normln"/>
    <w:link w:val="Nadpis4Char"/>
    <w:uiPriority w:val="9"/>
    <w:qFormat/>
    <w:rsid w:val="00822688"/>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2345E"/>
    <w:pPr>
      <w:ind w:left="720"/>
      <w:contextualSpacing/>
    </w:pPr>
  </w:style>
  <w:style w:type="paragraph" w:styleId="Normlnweb">
    <w:name w:val="Normal (Web)"/>
    <w:basedOn w:val="Normln"/>
    <w:uiPriority w:val="99"/>
    <w:unhideWhenUsed/>
    <w:rsid w:val="004160AC"/>
    <w:pPr>
      <w:spacing w:before="100" w:beforeAutospacing="1" w:after="100" w:afterAutospacing="1" w:line="240" w:lineRule="auto"/>
    </w:pPr>
    <w:rPr>
      <w:rFonts w:ascii="Times New Roman" w:hAnsi="Times New Roman" w:cs="Times New Roman"/>
      <w:sz w:val="24"/>
      <w:szCs w:val="24"/>
      <w:lang w:eastAsia="cs-CZ"/>
    </w:rPr>
  </w:style>
  <w:style w:type="character" w:styleId="Siln">
    <w:name w:val="Strong"/>
    <w:basedOn w:val="Standardnpsmoodstavce"/>
    <w:uiPriority w:val="22"/>
    <w:qFormat/>
    <w:rsid w:val="004160AC"/>
    <w:rPr>
      <w:b/>
      <w:bCs/>
    </w:rPr>
  </w:style>
  <w:style w:type="character" w:customStyle="1" w:styleId="Nadpis4Char">
    <w:name w:val="Nadpis 4 Char"/>
    <w:basedOn w:val="Standardnpsmoodstavce"/>
    <w:link w:val="Nadpis4"/>
    <w:uiPriority w:val="9"/>
    <w:rsid w:val="00822688"/>
    <w:rPr>
      <w:rFonts w:ascii="Times New Roman" w:eastAsia="Times New Roman" w:hAnsi="Times New Roman" w:cs="Times New Roman"/>
      <w:b/>
      <w:bCs/>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768256">
      <w:bodyDiv w:val="1"/>
      <w:marLeft w:val="0"/>
      <w:marRight w:val="0"/>
      <w:marTop w:val="0"/>
      <w:marBottom w:val="0"/>
      <w:divBdr>
        <w:top w:val="none" w:sz="0" w:space="0" w:color="auto"/>
        <w:left w:val="none" w:sz="0" w:space="0" w:color="auto"/>
        <w:bottom w:val="none" w:sz="0" w:space="0" w:color="auto"/>
        <w:right w:val="none" w:sz="0" w:space="0" w:color="auto"/>
      </w:divBdr>
    </w:div>
    <w:div w:id="834027052">
      <w:bodyDiv w:val="1"/>
      <w:marLeft w:val="0"/>
      <w:marRight w:val="0"/>
      <w:marTop w:val="0"/>
      <w:marBottom w:val="0"/>
      <w:divBdr>
        <w:top w:val="none" w:sz="0" w:space="0" w:color="auto"/>
        <w:left w:val="none" w:sz="0" w:space="0" w:color="auto"/>
        <w:bottom w:val="none" w:sz="0" w:space="0" w:color="auto"/>
        <w:right w:val="none" w:sz="0" w:space="0" w:color="auto"/>
      </w:divBdr>
    </w:div>
    <w:div w:id="201668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1284</Words>
  <Characters>7582</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Štěpanovský Dominik</dc:creator>
  <cp:keywords/>
  <dc:description/>
  <cp:lastModifiedBy>Štěpanovský Dominik</cp:lastModifiedBy>
  <cp:revision>4</cp:revision>
  <dcterms:created xsi:type="dcterms:W3CDTF">2017-10-24T10:08:00Z</dcterms:created>
  <dcterms:modified xsi:type="dcterms:W3CDTF">2017-10-24T11:13:00Z</dcterms:modified>
</cp:coreProperties>
</file>