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7C24" w:rsidRPr="00F33F8C" w:rsidRDefault="00787C24" w:rsidP="00787C24">
      <w:pPr>
        <w:tabs>
          <w:tab w:val="left" w:pos="426"/>
        </w:tabs>
        <w:jc w:val="center"/>
        <w:rPr>
          <w:rFonts w:cstheme="minorHAnsi"/>
          <w:b/>
          <w:sz w:val="24"/>
          <w:szCs w:val="24"/>
        </w:rPr>
      </w:pPr>
      <w:r w:rsidRPr="00F33F8C">
        <w:rPr>
          <w:rFonts w:cstheme="minorHAnsi"/>
          <w:b/>
          <w:sz w:val="24"/>
          <w:szCs w:val="24"/>
        </w:rPr>
        <w:t xml:space="preserve">Metodika </w:t>
      </w:r>
    </w:p>
    <w:p w:rsidR="00787C24" w:rsidRPr="00F33F8C" w:rsidRDefault="00787C24" w:rsidP="00787C24">
      <w:pPr>
        <w:tabs>
          <w:tab w:val="left" w:pos="426"/>
        </w:tabs>
        <w:jc w:val="center"/>
        <w:rPr>
          <w:rFonts w:cstheme="minorHAnsi"/>
          <w:b/>
          <w:sz w:val="24"/>
          <w:szCs w:val="24"/>
        </w:rPr>
      </w:pPr>
      <w:r w:rsidRPr="00F33F8C">
        <w:rPr>
          <w:rFonts w:cstheme="minorHAnsi"/>
          <w:b/>
          <w:sz w:val="24"/>
          <w:szCs w:val="24"/>
        </w:rPr>
        <w:t>pro připojení elektrické požární signalizace prostřednictvím zařízení dálkového přenosu na pult centralizované ochrany umístěný na krajském operačním a informačním středisku hasičského záchranného sboru kraje</w:t>
      </w:r>
    </w:p>
    <w:p w:rsidR="00CD7648" w:rsidRPr="00F33F8C" w:rsidRDefault="00B86E34" w:rsidP="00B86E34">
      <w:pPr>
        <w:tabs>
          <w:tab w:val="left" w:pos="426"/>
        </w:tabs>
        <w:jc w:val="center"/>
        <w:rPr>
          <w:rFonts w:cstheme="minorHAnsi"/>
          <w:b/>
          <w:sz w:val="24"/>
          <w:szCs w:val="24"/>
        </w:rPr>
      </w:pPr>
      <w:r w:rsidRPr="00F33F8C">
        <w:rPr>
          <w:rFonts w:cstheme="minorHAnsi"/>
          <w:b/>
          <w:sz w:val="24"/>
          <w:szCs w:val="24"/>
        </w:rPr>
        <w:t>Doplnění konkrétních podmínek pro připojení EPS na PCO v rámci HZS Královéhradeckého kraje</w:t>
      </w:r>
    </w:p>
    <w:p w:rsidR="00B86E34" w:rsidRPr="00F33F8C" w:rsidRDefault="00B86E34" w:rsidP="00B86E34">
      <w:pPr>
        <w:tabs>
          <w:tab w:val="left" w:pos="426"/>
        </w:tabs>
        <w:jc w:val="center"/>
        <w:rPr>
          <w:rFonts w:cstheme="minorHAnsi"/>
          <w:b/>
          <w:szCs w:val="24"/>
        </w:rPr>
      </w:pPr>
    </w:p>
    <w:p w:rsidR="00CD7648" w:rsidRPr="00F33F8C" w:rsidRDefault="00B86E34" w:rsidP="00DB7B2F">
      <w:pPr>
        <w:tabs>
          <w:tab w:val="left" w:pos="426"/>
        </w:tabs>
        <w:autoSpaceDE w:val="0"/>
        <w:autoSpaceDN w:val="0"/>
        <w:adjustRightInd w:val="0"/>
        <w:spacing w:after="120" w:line="240" w:lineRule="auto"/>
        <w:jc w:val="both"/>
        <w:rPr>
          <w:rFonts w:cstheme="minorHAnsi"/>
          <w:sz w:val="24"/>
          <w:szCs w:val="24"/>
        </w:rPr>
      </w:pPr>
      <w:r w:rsidRPr="00F33F8C">
        <w:rPr>
          <w:rFonts w:cstheme="minorHAnsi"/>
          <w:color w:val="000000"/>
          <w:sz w:val="24"/>
          <w:szCs w:val="24"/>
        </w:rPr>
        <w:t xml:space="preserve">1. </w:t>
      </w:r>
      <w:r w:rsidR="00CD7648" w:rsidRPr="00F33F8C">
        <w:rPr>
          <w:rFonts w:cstheme="minorHAnsi"/>
          <w:color w:val="000000"/>
          <w:sz w:val="24"/>
          <w:szCs w:val="24"/>
        </w:rPr>
        <w:t>Nově připojované ZDP musí přenášet současně informace minimálně s rozlišením na adresy samočinných a tlačítkových hlásičů požáru podle čl. 6.7.2.3.3. ČSN 34 2710 v následující struktuře:</w:t>
      </w:r>
    </w:p>
    <w:p w:rsidR="00F33F8C" w:rsidRPr="00F33F8C" w:rsidRDefault="00CD7648" w:rsidP="00B86E34">
      <w:pPr>
        <w:tabs>
          <w:tab w:val="left" w:pos="426"/>
        </w:tabs>
        <w:autoSpaceDE w:val="0"/>
        <w:autoSpaceDN w:val="0"/>
        <w:adjustRightInd w:val="0"/>
        <w:spacing w:after="120"/>
        <w:jc w:val="both"/>
        <w:rPr>
          <w:rFonts w:cstheme="minorHAnsi"/>
          <w:b/>
          <w:color w:val="000000"/>
          <w:sz w:val="24"/>
          <w:szCs w:val="24"/>
        </w:rPr>
      </w:pPr>
      <w:r w:rsidRPr="00F33F8C">
        <w:rPr>
          <w:rFonts w:cstheme="minorHAnsi"/>
          <w:color w:val="000000"/>
          <w:sz w:val="24"/>
          <w:szCs w:val="24"/>
        </w:rPr>
        <w:tab/>
      </w:r>
      <w:r w:rsidRPr="00F33F8C">
        <w:rPr>
          <w:rFonts w:cstheme="minorHAnsi"/>
          <w:b/>
          <w:color w:val="000000"/>
          <w:sz w:val="24"/>
          <w:szCs w:val="24"/>
        </w:rPr>
        <w:t>číslo hlásiče/podlaží objektu/číslo místnosti/název místnosti</w:t>
      </w:r>
      <w:proofErr w:type="gramStart"/>
      <w:r w:rsidRPr="00F33F8C">
        <w:rPr>
          <w:rFonts w:cstheme="minorHAnsi"/>
          <w:b/>
          <w:color w:val="000000"/>
          <w:sz w:val="24"/>
          <w:szCs w:val="24"/>
        </w:rPr>
        <w:t>/(</w:t>
      </w:r>
      <w:proofErr w:type="gramEnd"/>
      <w:r w:rsidRPr="00F33F8C">
        <w:rPr>
          <w:rFonts w:cstheme="minorHAnsi"/>
          <w:b/>
          <w:color w:val="000000"/>
          <w:sz w:val="24"/>
          <w:szCs w:val="24"/>
        </w:rPr>
        <w:t>event. druh hlásiče)</w:t>
      </w:r>
      <w:bookmarkStart w:id="0" w:name="_GoBack"/>
      <w:bookmarkEnd w:id="0"/>
    </w:p>
    <w:p w:rsidR="00F33F8C" w:rsidRPr="00F33F8C" w:rsidRDefault="0066536D" w:rsidP="00F33F8C">
      <w:pPr>
        <w:pStyle w:val="Bezmezer"/>
        <w:jc w:val="both"/>
        <w:rPr>
          <w:rFonts w:asciiTheme="minorHAnsi" w:hAnsiTheme="minorHAnsi" w:cstheme="minorHAnsi"/>
          <w:sz w:val="24"/>
          <w:szCs w:val="24"/>
        </w:rPr>
      </w:pPr>
      <w:r w:rsidRPr="00F33F8C">
        <w:rPr>
          <w:rFonts w:asciiTheme="minorHAnsi" w:hAnsiTheme="minorHAnsi" w:cstheme="minorHAnsi"/>
          <w:sz w:val="24"/>
          <w:szCs w:val="24"/>
        </w:rPr>
        <w:t>Označení hlásičů</w:t>
      </w:r>
      <w:r w:rsidR="00F33F8C" w:rsidRPr="00F33F8C">
        <w:rPr>
          <w:rFonts w:asciiTheme="minorHAnsi" w:hAnsiTheme="minorHAnsi" w:cstheme="minorHAnsi"/>
          <w:sz w:val="24"/>
          <w:szCs w:val="24"/>
        </w:rPr>
        <w:t>:</w:t>
      </w:r>
    </w:p>
    <w:p w:rsidR="0066536D" w:rsidRPr="00F33F8C" w:rsidRDefault="0066536D" w:rsidP="00F33F8C">
      <w:pPr>
        <w:pStyle w:val="Bezmezer"/>
        <w:jc w:val="both"/>
        <w:rPr>
          <w:rFonts w:asciiTheme="minorHAnsi" w:hAnsiTheme="minorHAnsi" w:cstheme="minorHAnsi"/>
          <w:b/>
          <w:sz w:val="24"/>
          <w:szCs w:val="24"/>
        </w:rPr>
      </w:pPr>
      <w:r w:rsidRPr="00F33F8C">
        <w:rPr>
          <w:rFonts w:asciiTheme="minorHAnsi" w:hAnsiTheme="minorHAnsi" w:cstheme="minorHAnsi"/>
          <w:sz w:val="24"/>
          <w:szCs w:val="24"/>
        </w:rPr>
        <w:t xml:space="preserve">Provozovatel EPS zajistí označení hlásičů požáru systému EPS fyzickými číselnými adresami (SW/krátkými/ adresami) hlásičů takto: </w:t>
      </w:r>
    </w:p>
    <w:p w:rsidR="0066536D" w:rsidRPr="00F33F8C" w:rsidRDefault="0066536D" w:rsidP="0066536D">
      <w:pPr>
        <w:pStyle w:val="Bezmezer"/>
        <w:jc w:val="both"/>
        <w:rPr>
          <w:rFonts w:asciiTheme="minorHAnsi" w:hAnsiTheme="minorHAnsi" w:cstheme="minorHAnsi"/>
          <w:sz w:val="24"/>
          <w:szCs w:val="24"/>
        </w:rPr>
      </w:pPr>
      <w:r w:rsidRPr="00F33F8C">
        <w:rPr>
          <w:rFonts w:asciiTheme="minorHAnsi" w:hAnsiTheme="minorHAnsi" w:cstheme="minorHAnsi"/>
          <w:sz w:val="24"/>
          <w:szCs w:val="24"/>
        </w:rPr>
        <w:t xml:space="preserve">Viditelné hlásiče </w:t>
      </w:r>
    </w:p>
    <w:p w:rsidR="0066536D" w:rsidRPr="00F33F8C" w:rsidRDefault="0066536D" w:rsidP="0066536D">
      <w:pPr>
        <w:pStyle w:val="Bezmezer"/>
        <w:jc w:val="both"/>
        <w:rPr>
          <w:rFonts w:asciiTheme="minorHAnsi" w:hAnsiTheme="minorHAnsi" w:cstheme="minorHAnsi"/>
          <w:sz w:val="24"/>
          <w:szCs w:val="24"/>
        </w:rPr>
      </w:pPr>
      <w:r w:rsidRPr="00F33F8C">
        <w:rPr>
          <w:rFonts w:asciiTheme="minorHAnsi" w:hAnsiTheme="minorHAnsi" w:cstheme="minorHAnsi"/>
          <w:sz w:val="24"/>
          <w:szCs w:val="24"/>
        </w:rPr>
        <w:t xml:space="preserve">- při světlé výšce místností do 3 m – </w:t>
      </w:r>
      <w:proofErr w:type="spellStart"/>
      <w:r w:rsidRPr="00F33F8C">
        <w:rPr>
          <w:rFonts w:asciiTheme="minorHAnsi" w:hAnsiTheme="minorHAnsi" w:cstheme="minorHAnsi"/>
          <w:sz w:val="24"/>
          <w:szCs w:val="24"/>
        </w:rPr>
        <w:t>Arial</w:t>
      </w:r>
      <w:proofErr w:type="spellEnd"/>
      <w:r w:rsidRPr="00F33F8C">
        <w:rPr>
          <w:rFonts w:asciiTheme="minorHAnsi" w:hAnsiTheme="minorHAnsi" w:cstheme="minorHAnsi"/>
          <w:sz w:val="24"/>
          <w:szCs w:val="24"/>
        </w:rPr>
        <w:t xml:space="preserve">, velikost písma 40 bodů, </w:t>
      </w:r>
    </w:p>
    <w:p w:rsidR="0066536D" w:rsidRPr="00F33F8C" w:rsidRDefault="0066536D" w:rsidP="0066536D">
      <w:pPr>
        <w:pStyle w:val="Bezmezer"/>
        <w:jc w:val="both"/>
        <w:rPr>
          <w:rFonts w:asciiTheme="minorHAnsi" w:hAnsiTheme="minorHAnsi" w:cstheme="minorHAnsi"/>
          <w:sz w:val="24"/>
          <w:szCs w:val="24"/>
        </w:rPr>
      </w:pPr>
      <w:r w:rsidRPr="00F33F8C">
        <w:rPr>
          <w:rFonts w:asciiTheme="minorHAnsi" w:hAnsiTheme="minorHAnsi" w:cstheme="minorHAnsi"/>
          <w:sz w:val="24"/>
          <w:szCs w:val="24"/>
        </w:rPr>
        <w:t xml:space="preserve">- při světlé výšce místností do 7 m – </w:t>
      </w:r>
      <w:proofErr w:type="spellStart"/>
      <w:r w:rsidRPr="00F33F8C">
        <w:rPr>
          <w:rFonts w:asciiTheme="minorHAnsi" w:hAnsiTheme="minorHAnsi" w:cstheme="minorHAnsi"/>
          <w:sz w:val="24"/>
          <w:szCs w:val="24"/>
        </w:rPr>
        <w:t>Arial</w:t>
      </w:r>
      <w:proofErr w:type="spellEnd"/>
      <w:r w:rsidRPr="00F33F8C">
        <w:rPr>
          <w:rFonts w:asciiTheme="minorHAnsi" w:hAnsiTheme="minorHAnsi" w:cstheme="minorHAnsi"/>
          <w:sz w:val="24"/>
          <w:szCs w:val="24"/>
        </w:rPr>
        <w:t xml:space="preserve">, velikost písma 80 bodů, </w:t>
      </w:r>
    </w:p>
    <w:p w:rsidR="0066536D" w:rsidRPr="00F33F8C" w:rsidRDefault="0066536D" w:rsidP="0066536D">
      <w:pPr>
        <w:pStyle w:val="Bezmezer"/>
        <w:spacing w:after="120"/>
        <w:jc w:val="both"/>
        <w:rPr>
          <w:rFonts w:asciiTheme="minorHAnsi" w:hAnsiTheme="minorHAnsi" w:cstheme="minorHAnsi"/>
          <w:sz w:val="24"/>
          <w:szCs w:val="24"/>
        </w:rPr>
      </w:pPr>
      <w:r w:rsidRPr="00F33F8C">
        <w:rPr>
          <w:rFonts w:asciiTheme="minorHAnsi" w:hAnsiTheme="minorHAnsi" w:cstheme="minorHAnsi"/>
          <w:sz w:val="24"/>
          <w:szCs w:val="24"/>
        </w:rPr>
        <w:t xml:space="preserve">- při světlé výšce místností nad 7 m – </w:t>
      </w:r>
      <w:proofErr w:type="spellStart"/>
      <w:r w:rsidRPr="00F33F8C">
        <w:rPr>
          <w:rFonts w:asciiTheme="minorHAnsi" w:hAnsiTheme="minorHAnsi" w:cstheme="minorHAnsi"/>
          <w:sz w:val="24"/>
          <w:szCs w:val="24"/>
        </w:rPr>
        <w:t>Arial</w:t>
      </w:r>
      <w:proofErr w:type="spellEnd"/>
      <w:r w:rsidRPr="00F33F8C">
        <w:rPr>
          <w:rFonts w:asciiTheme="minorHAnsi" w:hAnsiTheme="minorHAnsi" w:cstheme="minorHAnsi"/>
          <w:sz w:val="24"/>
          <w:szCs w:val="24"/>
        </w:rPr>
        <w:t>, velikost písma 120 bodů.</w:t>
      </w:r>
    </w:p>
    <w:p w:rsidR="0066536D" w:rsidRPr="00F33F8C" w:rsidRDefault="0066536D" w:rsidP="0066536D">
      <w:pPr>
        <w:pStyle w:val="Bezmezer"/>
        <w:spacing w:after="120"/>
        <w:jc w:val="both"/>
        <w:rPr>
          <w:rFonts w:asciiTheme="minorHAnsi" w:hAnsiTheme="minorHAnsi" w:cstheme="minorHAnsi"/>
          <w:sz w:val="24"/>
          <w:szCs w:val="24"/>
        </w:rPr>
      </w:pPr>
      <w:r w:rsidRPr="00F33F8C">
        <w:rPr>
          <w:rFonts w:asciiTheme="minorHAnsi" w:hAnsiTheme="minorHAnsi" w:cstheme="minorHAnsi"/>
          <w:sz w:val="24"/>
          <w:szCs w:val="24"/>
        </w:rPr>
        <w:t xml:space="preserve">Označení hlásičů je provedeno černým písmem na bílém podkladu. </w:t>
      </w:r>
    </w:p>
    <w:p w:rsidR="0066536D" w:rsidRPr="00F33F8C" w:rsidRDefault="0066536D" w:rsidP="0066536D">
      <w:pPr>
        <w:pStyle w:val="Bezmezer"/>
        <w:jc w:val="both"/>
        <w:rPr>
          <w:rFonts w:asciiTheme="minorHAnsi" w:hAnsiTheme="minorHAnsi" w:cstheme="minorHAnsi"/>
          <w:sz w:val="24"/>
          <w:szCs w:val="24"/>
        </w:rPr>
      </w:pPr>
      <w:r w:rsidRPr="00F33F8C">
        <w:rPr>
          <w:rFonts w:asciiTheme="minorHAnsi" w:hAnsiTheme="minorHAnsi" w:cstheme="minorHAnsi"/>
          <w:sz w:val="24"/>
          <w:szCs w:val="24"/>
        </w:rPr>
        <w:t xml:space="preserve">U světelné identifikace čidel umístěných nad podhledy </w:t>
      </w:r>
    </w:p>
    <w:p w:rsidR="0066536D" w:rsidRPr="00F33F8C" w:rsidRDefault="0066536D" w:rsidP="0066536D">
      <w:pPr>
        <w:pStyle w:val="Bezmezer"/>
        <w:jc w:val="both"/>
        <w:rPr>
          <w:rFonts w:asciiTheme="minorHAnsi" w:hAnsiTheme="minorHAnsi" w:cstheme="minorHAnsi"/>
          <w:sz w:val="24"/>
          <w:szCs w:val="24"/>
        </w:rPr>
      </w:pPr>
      <w:r w:rsidRPr="00F33F8C">
        <w:rPr>
          <w:rFonts w:asciiTheme="minorHAnsi" w:hAnsiTheme="minorHAnsi" w:cstheme="minorHAnsi"/>
          <w:sz w:val="24"/>
          <w:szCs w:val="24"/>
        </w:rPr>
        <w:t xml:space="preserve">- při světlé výšce místností do 3 m – </w:t>
      </w:r>
      <w:proofErr w:type="spellStart"/>
      <w:r w:rsidRPr="00F33F8C">
        <w:rPr>
          <w:rFonts w:asciiTheme="minorHAnsi" w:hAnsiTheme="minorHAnsi" w:cstheme="minorHAnsi"/>
          <w:sz w:val="24"/>
          <w:szCs w:val="24"/>
        </w:rPr>
        <w:t>Arial</w:t>
      </w:r>
      <w:proofErr w:type="spellEnd"/>
      <w:r w:rsidRPr="00F33F8C">
        <w:rPr>
          <w:rFonts w:asciiTheme="minorHAnsi" w:hAnsiTheme="minorHAnsi" w:cstheme="minorHAnsi"/>
          <w:sz w:val="24"/>
          <w:szCs w:val="24"/>
        </w:rPr>
        <w:t>, velikost písma 40 bodů,</w:t>
      </w:r>
    </w:p>
    <w:p w:rsidR="0066536D" w:rsidRPr="00F33F8C" w:rsidRDefault="0066536D" w:rsidP="0066536D">
      <w:pPr>
        <w:pStyle w:val="Bezmezer"/>
        <w:jc w:val="both"/>
        <w:rPr>
          <w:rFonts w:asciiTheme="minorHAnsi" w:hAnsiTheme="minorHAnsi" w:cstheme="minorHAnsi"/>
          <w:sz w:val="24"/>
          <w:szCs w:val="24"/>
        </w:rPr>
      </w:pPr>
      <w:r w:rsidRPr="00F33F8C">
        <w:rPr>
          <w:rFonts w:asciiTheme="minorHAnsi" w:hAnsiTheme="minorHAnsi" w:cstheme="minorHAnsi"/>
          <w:sz w:val="24"/>
          <w:szCs w:val="24"/>
        </w:rPr>
        <w:t xml:space="preserve">- při světlé výšce místností do 7 m – </w:t>
      </w:r>
      <w:proofErr w:type="spellStart"/>
      <w:r w:rsidRPr="00F33F8C">
        <w:rPr>
          <w:rFonts w:asciiTheme="minorHAnsi" w:hAnsiTheme="minorHAnsi" w:cstheme="minorHAnsi"/>
          <w:sz w:val="24"/>
          <w:szCs w:val="24"/>
        </w:rPr>
        <w:t>Arial</w:t>
      </w:r>
      <w:proofErr w:type="spellEnd"/>
      <w:r w:rsidRPr="00F33F8C">
        <w:rPr>
          <w:rFonts w:asciiTheme="minorHAnsi" w:hAnsiTheme="minorHAnsi" w:cstheme="minorHAnsi"/>
          <w:sz w:val="24"/>
          <w:szCs w:val="24"/>
        </w:rPr>
        <w:t>, velikost písma 80 bodů,</w:t>
      </w:r>
    </w:p>
    <w:p w:rsidR="0066536D" w:rsidRPr="00F33F8C" w:rsidRDefault="0066536D" w:rsidP="0066536D">
      <w:pPr>
        <w:pStyle w:val="Bezmezer"/>
        <w:spacing w:after="120"/>
        <w:jc w:val="both"/>
        <w:rPr>
          <w:rFonts w:asciiTheme="minorHAnsi" w:hAnsiTheme="minorHAnsi" w:cstheme="minorHAnsi"/>
          <w:sz w:val="24"/>
          <w:szCs w:val="24"/>
        </w:rPr>
      </w:pPr>
      <w:r w:rsidRPr="00F33F8C">
        <w:rPr>
          <w:rFonts w:asciiTheme="minorHAnsi" w:hAnsiTheme="minorHAnsi" w:cstheme="minorHAnsi"/>
          <w:sz w:val="24"/>
          <w:szCs w:val="24"/>
        </w:rPr>
        <w:t xml:space="preserve">- při světlé výšce místností nad 7 m – </w:t>
      </w:r>
      <w:proofErr w:type="spellStart"/>
      <w:r w:rsidRPr="00F33F8C">
        <w:rPr>
          <w:rFonts w:asciiTheme="minorHAnsi" w:hAnsiTheme="minorHAnsi" w:cstheme="minorHAnsi"/>
          <w:sz w:val="24"/>
          <w:szCs w:val="24"/>
        </w:rPr>
        <w:t>Arial</w:t>
      </w:r>
      <w:proofErr w:type="spellEnd"/>
      <w:r w:rsidRPr="00F33F8C">
        <w:rPr>
          <w:rFonts w:asciiTheme="minorHAnsi" w:hAnsiTheme="minorHAnsi" w:cstheme="minorHAnsi"/>
          <w:sz w:val="24"/>
          <w:szCs w:val="24"/>
        </w:rPr>
        <w:t xml:space="preserve">, velikost písma 120 bodů. </w:t>
      </w:r>
    </w:p>
    <w:p w:rsidR="0066536D" w:rsidRPr="00F33F8C" w:rsidRDefault="0066536D" w:rsidP="0066536D">
      <w:pPr>
        <w:pStyle w:val="Bezmezer"/>
        <w:spacing w:after="120"/>
        <w:jc w:val="both"/>
        <w:rPr>
          <w:rFonts w:asciiTheme="minorHAnsi" w:hAnsiTheme="minorHAnsi" w:cstheme="minorHAnsi"/>
          <w:sz w:val="24"/>
          <w:szCs w:val="24"/>
        </w:rPr>
      </w:pPr>
      <w:r w:rsidRPr="00F33F8C">
        <w:rPr>
          <w:rFonts w:asciiTheme="minorHAnsi" w:hAnsiTheme="minorHAnsi" w:cstheme="minorHAnsi"/>
          <w:sz w:val="24"/>
          <w:szCs w:val="24"/>
        </w:rPr>
        <w:t xml:space="preserve">Označení hlásičů je provedeno černým písmem na žlutém podkladu. </w:t>
      </w:r>
    </w:p>
    <w:p w:rsidR="0066536D" w:rsidRPr="00F33F8C" w:rsidRDefault="0066536D" w:rsidP="0066536D">
      <w:pPr>
        <w:pStyle w:val="Bezmezer"/>
        <w:jc w:val="both"/>
        <w:rPr>
          <w:rFonts w:asciiTheme="minorHAnsi" w:hAnsiTheme="minorHAnsi" w:cstheme="minorHAnsi"/>
          <w:sz w:val="24"/>
          <w:szCs w:val="24"/>
        </w:rPr>
      </w:pPr>
      <w:r w:rsidRPr="00F33F8C">
        <w:rPr>
          <w:rFonts w:asciiTheme="minorHAnsi" w:hAnsiTheme="minorHAnsi" w:cstheme="minorHAnsi"/>
          <w:sz w:val="24"/>
          <w:szCs w:val="24"/>
        </w:rPr>
        <w:t xml:space="preserve">U světelné identifikace čidel umístěných pod podlahou </w:t>
      </w:r>
    </w:p>
    <w:p w:rsidR="0066536D" w:rsidRPr="00F33F8C" w:rsidRDefault="0066536D" w:rsidP="0066536D">
      <w:pPr>
        <w:pStyle w:val="Bezmezer"/>
        <w:spacing w:after="120"/>
        <w:jc w:val="both"/>
        <w:rPr>
          <w:rFonts w:asciiTheme="minorHAnsi" w:hAnsiTheme="minorHAnsi" w:cstheme="minorHAnsi"/>
          <w:sz w:val="24"/>
          <w:szCs w:val="24"/>
        </w:rPr>
      </w:pPr>
      <w:r w:rsidRPr="00F33F8C">
        <w:rPr>
          <w:rFonts w:asciiTheme="minorHAnsi" w:hAnsiTheme="minorHAnsi" w:cstheme="minorHAnsi"/>
          <w:sz w:val="24"/>
          <w:szCs w:val="24"/>
        </w:rPr>
        <w:t xml:space="preserve">- u nejbližší obvodové stěny ve výšce </w:t>
      </w:r>
      <w:proofErr w:type="gramStart"/>
      <w:r w:rsidRPr="00F33F8C">
        <w:rPr>
          <w:rFonts w:asciiTheme="minorHAnsi" w:hAnsiTheme="minorHAnsi" w:cstheme="minorHAnsi"/>
          <w:sz w:val="24"/>
          <w:szCs w:val="24"/>
        </w:rPr>
        <w:t>1m</w:t>
      </w:r>
      <w:proofErr w:type="gramEnd"/>
      <w:r w:rsidRPr="00F33F8C">
        <w:rPr>
          <w:rFonts w:asciiTheme="minorHAnsi" w:hAnsiTheme="minorHAnsi" w:cstheme="minorHAnsi"/>
          <w:sz w:val="24"/>
          <w:szCs w:val="24"/>
        </w:rPr>
        <w:t xml:space="preserve"> – </w:t>
      </w:r>
      <w:proofErr w:type="spellStart"/>
      <w:r w:rsidRPr="00F33F8C">
        <w:rPr>
          <w:rFonts w:asciiTheme="minorHAnsi" w:hAnsiTheme="minorHAnsi" w:cstheme="minorHAnsi"/>
          <w:sz w:val="24"/>
          <w:szCs w:val="24"/>
        </w:rPr>
        <w:t>Arial</w:t>
      </w:r>
      <w:proofErr w:type="spellEnd"/>
      <w:r w:rsidRPr="00F33F8C">
        <w:rPr>
          <w:rFonts w:asciiTheme="minorHAnsi" w:hAnsiTheme="minorHAnsi" w:cstheme="minorHAnsi"/>
          <w:sz w:val="24"/>
          <w:szCs w:val="24"/>
        </w:rPr>
        <w:t>, velikost písma 40 bodů.</w:t>
      </w:r>
    </w:p>
    <w:p w:rsidR="0066536D" w:rsidRPr="00F33F8C" w:rsidRDefault="0066536D" w:rsidP="0066536D">
      <w:pPr>
        <w:pStyle w:val="Bezmezer"/>
        <w:spacing w:after="120"/>
        <w:jc w:val="both"/>
        <w:rPr>
          <w:rFonts w:asciiTheme="minorHAnsi" w:hAnsiTheme="minorHAnsi" w:cstheme="minorHAnsi"/>
          <w:sz w:val="24"/>
          <w:szCs w:val="24"/>
        </w:rPr>
      </w:pPr>
      <w:r w:rsidRPr="00F33F8C">
        <w:rPr>
          <w:rFonts w:asciiTheme="minorHAnsi" w:hAnsiTheme="minorHAnsi" w:cstheme="minorHAnsi"/>
          <w:sz w:val="24"/>
          <w:szCs w:val="24"/>
        </w:rPr>
        <w:t>Označení hlásičů je provedeno černým písmem na žlutém podkladu.</w:t>
      </w:r>
    </w:p>
    <w:p w:rsidR="00B86E34" w:rsidRPr="00F33F8C" w:rsidRDefault="0066536D" w:rsidP="0066536D">
      <w:pPr>
        <w:pStyle w:val="Bezmezer"/>
        <w:spacing w:after="240"/>
        <w:jc w:val="both"/>
        <w:rPr>
          <w:rFonts w:asciiTheme="minorHAnsi" w:hAnsiTheme="minorHAnsi" w:cstheme="minorHAnsi"/>
          <w:sz w:val="24"/>
          <w:szCs w:val="24"/>
        </w:rPr>
      </w:pPr>
      <w:r w:rsidRPr="00F33F8C">
        <w:rPr>
          <w:rFonts w:asciiTheme="minorHAnsi" w:hAnsiTheme="minorHAnsi" w:cstheme="minorHAnsi"/>
          <w:sz w:val="24"/>
          <w:szCs w:val="24"/>
        </w:rPr>
        <w:t>Odlišné značení lze provést u speciálních staveb (zejména památkově chráněných), kde by značení významným způsobem zasahovalo do interiérů a negativně ovlivňovalo chráněné památky. Toto bude řešeno v rámci smluvního vztahu provozovatele EPS a HZS kraje.</w:t>
      </w:r>
    </w:p>
    <w:p w:rsidR="00B86E34" w:rsidRPr="00F33F8C" w:rsidRDefault="00B86E34" w:rsidP="0066536D">
      <w:pPr>
        <w:pStyle w:val="Bezmezer"/>
        <w:spacing w:after="240"/>
        <w:jc w:val="both"/>
        <w:rPr>
          <w:rFonts w:asciiTheme="minorHAnsi" w:hAnsiTheme="minorHAnsi" w:cstheme="minorHAnsi"/>
          <w:sz w:val="24"/>
          <w:szCs w:val="24"/>
        </w:rPr>
      </w:pPr>
      <w:r w:rsidRPr="00F33F8C">
        <w:rPr>
          <w:rFonts w:asciiTheme="minorHAnsi" w:hAnsiTheme="minorHAnsi" w:cstheme="minorHAnsi"/>
          <w:sz w:val="24"/>
          <w:szCs w:val="24"/>
        </w:rPr>
        <w:t>2. Instalované a připojené certifikované obslužné pole požární ochrany, musí být dále vybaveno nebo doplněno o funkcionalitu „zkouška ZDP“ s napojením na smyčku „VŠEOBECNÝ POPLACH“ k rychlému ověření funkčnosti přenosu ZDP.</w:t>
      </w:r>
    </w:p>
    <w:p w:rsidR="0066536D" w:rsidRPr="00F33F8C" w:rsidRDefault="00B86E34" w:rsidP="00B86E34">
      <w:pPr>
        <w:pStyle w:val="Bezmezer"/>
        <w:spacing w:after="240"/>
        <w:jc w:val="both"/>
        <w:rPr>
          <w:rFonts w:asciiTheme="minorHAnsi" w:hAnsiTheme="minorHAnsi" w:cstheme="minorHAnsi"/>
          <w:sz w:val="24"/>
          <w:szCs w:val="24"/>
        </w:rPr>
      </w:pPr>
      <w:r w:rsidRPr="00F33F8C">
        <w:rPr>
          <w:rFonts w:asciiTheme="minorHAnsi" w:hAnsiTheme="minorHAnsi" w:cstheme="minorHAnsi"/>
          <w:sz w:val="24"/>
          <w:szCs w:val="24"/>
        </w:rPr>
        <w:t xml:space="preserve">3. </w:t>
      </w:r>
      <w:r w:rsidRPr="00F33F8C">
        <w:rPr>
          <w:rFonts w:asciiTheme="minorHAnsi" w:hAnsiTheme="minorHAnsi" w:cstheme="minorHAnsi"/>
          <w:sz w:val="24"/>
          <w:szCs w:val="24"/>
        </w:rPr>
        <w:t>V případě konání koordinačních funkčních zkoušek ve smyslu čl. 4.8.4 ČSN 73 0875 požaduje HZS kraje přítomnost na těchto zkouškách. Tento požadavek musí být zapracován do požárně bezpečnostního řešení, a to do požadavku na provedení koordinačních funkčních zkoušek podle čl. 4.3.2 písm. o) ČSN 73 0875. Ohlášení tohoto konání musí být provedeno v dostatečném předstihu, minimálně však 15 dnů předem. Ohlášení musí být učiněno písemnou formou prostřednictvím podatelny HZS kraje</w:t>
      </w:r>
      <w:r w:rsidRPr="00F33F8C">
        <w:rPr>
          <w:rFonts w:asciiTheme="minorHAnsi" w:hAnsiTheme="minorHAnsi" w:cstheme="minorHAnsi"/>
          <w:sz w:val="24"/>
          <w:szCs w:val="24"/>
        </w:rPr>
        <w:t>.</w:t>
      </w:r>
    </w:p>
    <w:sectPr w:rsidR="0066536D" w:rsidRPr="00F33F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0D5030"/>
    <w:multiLevelType w:val="hybridMultilevel"/>
    <w:tmpl w:val="12B62BD8"/>
    <w:lvl w:ilvl="0" w:tplc="6840F912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color w:val="auto"/>
      </w:r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36D"/>
    <w:rsid w:val="00255FAB"/>
    <w:rsid w:val="002569B0"/>
    <w:rsid w:val="003141A5"/>
    <w:rsid w:val="004359C6"/>
    <w:rsid w:val="00593D74"/>
    <w:rsid w:val="0066536D"/>
    <w:rsid w:val="00787C24"/>
    <w:rsid w:val="00B86E34"/>
    <w:rsid w:val="00CD7648"/>
    <w:rsid w:val="00DB7B2F"/>
    <w:rsid w:val="00F33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57EA3"/>
  <w15:chartTrackingRefBased/>
  <w15:docId w15:val="{1803E816-B714-404F-A33C-7C4DA4CD4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66536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931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363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Nejtek Pavel</dc:creator>
  <cp:keywords/>
  <dc:description/>
  <cp:lastModifiedBy>Klimešová Blanka</cp:lastModifiedBy>
  <cp:revision>3</cp:revision>
  <dcterms:created xsi:type="dcterms:W3CDTF">2023-06-29T11:19:00Z</dcterms:created>
  <dcterms:modified xsi:type="dcterms:W3CDTF">2023-06-29T11:21:00Z</dcterms:modified>
</cp:coreProperties>
</file>