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7D" w:rsidRPr="004D3CC9" w:rsidRDefault="00970B7D" w:rsidP="004D3CC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4D3CC9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Statistický přehled činnosti TCTV 112 za rok 2012</w:t>
      </w:r>
    </w:p>
    <w:p w:rsidR="00970B7D" w:rsidRPr="00970B7D" w:rsidRDefault="00970B7D" w:rsidP="00970B7D">
      <w:pPr>
        <w:spacing w:after="0" w:line="240" w:lineRule="auto"/>
        <w:ind w:firstLine="357"/>
        <w:jc w:val="both"/>
        <w:rPr>
          <w:rFonts w:ascii="Arial" w:eastAsia="Times New Roman" w:hAnsi="Arial" w:cs="Arial"/>
          <w:color w:val="000000"/>
          <w:lang w:eastAsia="cs-CZ"/>
        </w:rPr>
      </w:pPr>
    </w:p>
    <w:tbl>
      <w:tblPr>
        <w:tblW w:w="7180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6119"/>
        <w:gridCol w:w="1061"/>
      </w:tblGrid>
      <w:tr w:rsidR="00970B7D" w:rsidRPr="004D3CC9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Celkem založené události za rok 2012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8 368</w:t>
            </w:r>
          </w:p>
        </w:tc>
      </w:tr>
      <w:tr w:rsidR="00970B7D" w:rsidRPr="004D3CC9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Přijaté události na TCTV 112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7 494</w:t>
            </w:r>
          </w:p>
        </w:tc>
      </w:tr>
      <w:tr w:rsidR="00970B7D" w:rsidRPr="004D3CC9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Přijaté události pro jiné TCTV 112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874</w:t>
            </w:r>
          </w:p>
        </w:tc>
      </w:tr>
      <w:tr w:rsidR="00970B7D" w:rsidRPr="004D3CC9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Celkový počet volání na TCTV 112 za rok 2012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162 576</w:t>
            </w:r>
          </w:p>
        </w:tc>
      </w:tr>
      <w:tr w:rsidR="00970B7D" w:rsidRPr="004D3CC9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 xml:space="preserve"> - z toho počet volání na linku 150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19 774</w:t>
            </w:r>
          </w:p>
        </w:tc>
      </w:tr>
      <w:tr w:rsidR="00970B7D" w:rsidRPr="00970B7D" w:rsidTr="004D3CC9">
        <w:trPr>
          <w:trHeight w:val="402"/>
          <w:jc w:val="center"/>
        </w:trPr>
        <w:tc>
          <w:tcPr>
            <w:tcW w:w="6119" w:type="dxa"/>
            <w:shd w:val="clear" w:color="auto" w:fill="auto"/>
            <w:noWrap/>
            <w:vAlign w:val="bottom"/>
          </w:tcPr>
          <w:p w:rsidR="00970B7D" w:rsidRPr="004D3CC9" w:rsidRDefault="00970B7D" w:rsidP="00970B7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 xml:space="preserve"> - z toho počet volání na linku 112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:rsidR="00970B7D" w:rsidRPr="00970B7D" w:rsidRDefault="00970B7D" w:rsidP="00970B7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142 802</w:t>
            </w:r>
          </w:p>
        </w:tc>
      </w:tr>
    </w:tbl>
    <w:p w:rsidR="004D3CC9" w:rsidRDefault="004D3CC9" w:rsidP="00970B7D">
      <w:pPr>
        <w:spacing w:before="180" w:after="60" w:line="240" w:lineRule="auto"/>
        <w:ind w:firstLine="357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4D3CC9" w:rsidRDefault="004D3CC9" w:rsidP="00970B7D">
      <w:pPr>
        <w:spacing w:before="180" w:after="60" w:line="240" w:lineRule="auto"/>
        <w:ind w:firstLine="357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4D3CC9" w:rsidRP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b/>
          <w:iCs/>
          <w:color w:val="000000"/>
          <w:sz w:val="28"/>
          <w:szCs w:val="28"/>
          <w:lang w:eastAsia="cs-CZ"/>
        </w:rPr>
      </w:pPr>
      <w:r w:rsidRPr="004D3CC9">
        <w:rPr>
          <w:rFonts w:ascii="Arial" w:eastAsia="Times New Roman" w:hAnsi="Arial" w:cs="Arial"/>
          <w:b/>
          <w:iCs/>
          <w:color w:val="000000"/>
          <w:sz w:val="28"/>
          <w:szCs w:val="28"/>
          <w:lang w:eastAsia="cs-CZ"/>
        </w:rPr>
        <w:t>Počet volání na TCTV 112 v jednotlivých měsících</w:t>
      </w:r>
    </w:p>
    <w:tbl>
      <w:tblPr>
        <w:tblW w:w="288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960"/>
        <w:gridCol w:w="900"/>
        <w:gridCol w:w="1020"/>
      </w:tblGrid>
      <w:tr w:rsidR="004D3CC9" w:rsidRPr="004D3CC9" w:rsidTr="004D3CC9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150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leden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12356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1503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únor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10769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1803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březen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12405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1769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duben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11527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1792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květen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11362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1808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červen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11420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1561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červenec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11629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1694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srpen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11631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1655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září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11398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1476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říjen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13138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1523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listopad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11906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1573</w:t>
            </w:r>
          </w:p>
        </w:tc>
      </w:tr>
      <w:tr w:rsidR="004D3CC9" w:rsidRPr="004D3CC9" w:rsidTr="004D3CC9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3CC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prosinec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13261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CC9" w:rsidRPr="004D3CC9" w:rsidRDefault="004D3CC9" w:rsidP="004D3CC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cs-CZ"/>
              </w:rPr>
            </w:pPr>
            <w:r w:rsidRPr="004D3CC9">
              <w:rPr>
                <w:rFonts w:ascii="Arial" w:eastAsia="Times New Roman" w:hAnsi="Arial" w:cs="Arial"/>
                <w:lang w:eastAsia="cs-CZ"/>
              </w:rPr>
              <w:t>1617</w:t>
            </w:r>
          </w:p>
        </w:tc>
      </w:tr>
    </w:tbl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  <w:r w:rsidRPr="004D3CC9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drawing>
          <wp:inline distT="0" distB="0" distL="0" distR="0">
            <wp:extent cx="5760720" cy="2773181"/>
            <wp:effectExtent l="19050" t="0" r="11430" b="8119"/>
            <wp:docPr id="3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b/>
          <w:iCs/>
          <w:color w:val="000000"/>
          <w:sz w:val="28"/>
          <w:szCs w:val="28"/>
          <w:lang w:eastAsia="cs-CZ"/>
        </w:rPr>
      </w:pPr>
      <w:r w:rsidRPr="004D3CC9">
        <w:rPr>
          <w:rFonts w:ascii="Arial" w:eastAsia="Times New Roman" w:hAnsi="Arial" w:cs="Arial"/>
          <w:b/>
          <w:iCs/>
          <w:color w:val="000000"/>
          <w:sz w:val="28"/>
          <w:szCs w:val="28"/>
          <w:lang w:eastAsia="cs-CZ"/>
        </w:rPr>
        <w:lastRenderedPageBreak/>
        <w:t>Přehled odeslaných datových vět z TCTV 112 Pak</w:t>
      </w:r>
    </w:p>
    <w:p w:rsidR="004D3CC9" w:rsidRP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b/>
          <w:iCs/>
          <w:color w:val="000000"/>
          <w:sz w:val="28"/>
          <w:szCs w:val="28"/>
          <w:lang w:eastAsia="cs-CZ"/>
        </w:rPr>
      </w:pPr>
    </w:p>
    <w:tbl>
      <w:tblPr>
        <w:tblW w:w="480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960"/>
        <w:gridCol w:w="900"/>
        <w:gridCol w:w="1020"/>
        <w:gridCol w:w="960"/>
        <w:gridCol w:w="960"/>
      </w:tblGrid>
      <w:tr w:rsidR="00356466" w:rsidRPr="00356466" w:rsidTr="00356466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HZS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ZZS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PČR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celkem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leden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846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únor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1056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březen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966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duben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885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květen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951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červen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861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červenec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1001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srpen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916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září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761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říjen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857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listopad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758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prosinec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967</w:t>
            </w:r>
          </w:p>
        </w:tc>
      </w:tr>
      <w:tr w:rsidR="00356466" w:rsidRPr="00356466" w:rsidTr="0035646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6466" w:rsidRPr="00356466" w:rsidRDefault="00356466" w:rsidP="003564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5646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10825</w:t>
            </w:r>
          </w:p>
        </w:tc>
      </w:tr>
    </w:tbl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4D3CC9" w:rsidRDefault="004D3CC9" w:rsidP="004D3CC9">
      <w:pPr>
        <w:spacing w:before="180" w:after="6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  <w:r w:rsidRPr="004D3CC9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drawing>
          <wp:inline distT="0" distB="0" distL="0" distR="0">
            <wp:extent cx="5580063" cy="3276600"/>
            <wp:effectExtent l="19050" t="0" r="20637" b="0"/>
            <wp:docPr id="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D3CC9" w:rsidRDefault="004D3CC9" w:rsidP="00970B7D">
      <w:pPr>
        <w:spacing w:before="180" w:after="60" w:line="240" w:lineRule="auto"/>
        <w:ind w:firstLine="357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970B7D" w:rsidRPr="00970B7D" w:rsidRDefault="00970B7D" w:rsidP="00970B7D">
      <w:pPr>
        <w:spacing w:before="180" w:after="60" w:line="240" w:lineRule="auto"/>
        <w:ind w:firstLine="357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</w:pPr>
    </w:p>
    <w:p w:rsidR="00970B7D" w:rsidRPr="00970B7D" w:rsidRDefault="00970B7D" w:rsidP="00970B7D">
      <w:pPr>
        <w:spacing w:before="180" w:after="60" w:line="240" w:lineRule="auto"/>
        <w:ind w:firstLine="357"/>
        <w:jc w:val="center"/>
        <w:rPr>
          <w:rFonts w:ascii="Arial" w:eastAsia="Times New Roman" w:hAnsi="Arial" w:cs="Arial"/>
          <w:color w:val="000000"/>
          <w:lang w:eastAsia="cs-CZ"/>
        </w:rPr>
      </w:pPr>
    </w:p>
    <w:p w:rsidR="00970B7D" w:rsidRPr="00970B7D" w:rsidRDefault="00970B7D" w:rsidP="004E20F8">
      <w:pPr>
        <w:spacing w:after="0" w:line="240" w:lineRule="auto"/>
        <w:jc w:val="both"/>
        <w:rPr>
          <w:rFonts w:ascii="Arial" w:eastAsia="SimSun" w:hAnsi="Arial" w:cs="Arial"/>
          <w:b/>
          <w:bCs/>
          <w:lang w:eastAsia="zh-CN"/>
        </w:rPr>
      </w:pPr>
    </w:p>
    <w:p w:rsidR="00B64EBD" w:rsidRDefault="00B64EBD"/>
    <w:sectPr w:rsidR="00B64EBD" w:rsidSect="004D3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7023F"/>
    <w:multiLevelType w:val="hybridMultilevel"/>
    <w:tmpl w:val="B4E40C7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1">
    <w:nsid w:val="64707935"/>
    <w:multiLevelType w:val="hybridMultilevel"/>
    <w:tmpl w:val="87C0767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70B7D"/>
    <w:rsid w:val="00356466"/>
    <w:rsid w:val="004458DA"/>
    <w:rsid w:val="004D3CC9"/>
    <w:rsid w:val="004E20F8"/>
    <w:rsid w:val="007E4824"/>
    <w:rsid w:val="00970B7D"/>
    <w:rsid w:val="00B64EBD"/>
    <w:rsid w:val="00CA6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482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7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0B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7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0B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3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ro&#269;enka%20201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ro&#269;enka%20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roundedCorners val="1"/>
  <c:chart>
    <c:title>
      <c:tx>
        <c:rich>
          <a:bodyPr/>
          <a:lstStyle/>
          <a:p>
            <a:pPr>
              <a:defRPr sz="1600"/>
            </a:pPr>
            <a:r>
              <a:rPr lang="en-US" sz="1600"/>
              <a:t>Počet volání na linky 112 a 150 v měsících</a:t>
            </a:r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8.8594724644877929E-2"/>
          <c:y val="0.15096833640475812"/>
          <c:w val="0.89225634239297258"/>
          <c:h val="0.65097570782375702"/>
        </c:manualLayout>
      </c:layout>
      <c:bar3DChart>
        <c:barDir val="col"/>
        <c:grouping val="clustered"/>
        <c:ser>
          <c:idx val="0"/>
          <c:order val="0"/>
          <c:tx>
            <c:strRef>
              <c:f>List32!$C$8</c:f>
              <c:strCache>
                <c:ptCount val="1"/>
                <c:pt idx="0">
                  <c:v>112</c:v>
                </c:pt>
              </c:strCache>
            </c:strRef>
          </c:tx>
          <c:spPr>
            <a:solidFill>
              <a:srgbClr val="002060"/>
            </a:solidFill>
          </c:spPr>
          <c:cat>
            <c:strRef>
              <c:f>List32!$B$9:$B$20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List32!$C$9:$C$20</c:f>
              <c:numCache>
                <c:formatCode>General</c:formatCode>
                <c:ptCount val="12"/>
                <c:pt idx="0">
                  <c:v>12356</c:v>
                </c:pt>
                <c:pt idx="1">
                  <c:v>10769</c:v>
                </c:pt>
                <c:pt idx="2">
                  <c:v>12405</c:v>
                </c:pt>
                <c:pt idx="3">
                  <c:v>11527</c:v>
                </c:pt>
                <c:pt idx="4">
                  <c:v>11362</c:v>
                </c:pt>
                <c:pt idx="5">
                  <c:v>11420</c:v>
                </c:pt>
                <c:pt idx="6">
                  <c:v>11629</c:v>
                </c:pt>
                <c:pt idx="7">
                  <c:v>11631</c:v>
                </c:pt>
                <c:pt idx="8">
                  <c:v>11398</c:v>
                </c:pt>
                <c:pt idx="9">
                  <c:v>13138</c:v>
                </c:pt>
                <c:pt idx="10">
                  <c:v>11906</c:v>
                </c:pt>
                <c:pt idx="11">
                  <c:v>13261</c:v>
                </c:pt>
              </c:numCache>
            </c:numRef>
          </c:val>
        </c:ser>
        <c:ser>
          <c:idx val="1"/>
          <c:order val="1"/>
          <c:tx>
            <c:strRef>
              <c:f>List32!$D$8</c:f>
              <c:strCache>
                <c:ptCount val="1"/>
                <c:pt idx="0">
                  <c:v>150</c:v>
                </c:pt>
              </c:strCache>
            </c:strRef>
          </c:tx>
          <c:cat>
            <c:strRef>
              <c:f>List32!$B$9:$B$20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List32!$D$9:$D$20</c:f>
              <c:numCache>
                <c:formatCode>General</c:formatCode>
                <c:ptCount val="12"/>
                <c:pt idx="0">
                  <c:v>1503</c:v>
                </c:pt>
                <c:pt idx="1">
                  <c:v>1803</c:v>
                </c:pt>
                <c:pt idx="2">
                  <c:v>1769</c:v>
                </c:pt>
                <c:pt idx="3">
                  <c:v>1792</c:v>
                </c:pt>
                <c:pt idx="4">
                  <c:v>1808</c:v>
                </c:pt>
                <c:pt idx="5">
                  <c:v>1561</c:v>
                </c:pt>
                <c:pt idx="6">
                  <c:v>1694</c:v>
                </c:pt>
                <c:pt idx="7">
                  <c:v>1655</c:v>
                </c:pt>
                <c:pt idx="8">
                  <c:v>1476</c:v>
                </c:pt>
                <c:pt idx="9">
                  <c:v>1523</c:v>
                </c:pt>
                <c:pt idx="10">
                  <c:v>1573</c:v>
                </c:pt>
                <c:pt idx="11">
                  <c:v>1617</c:v>
                </c:pt>
              </c:numCache>
            </c:numRef>
          </c:val>
        </c:ser>
        <c:shape val="cylinder"/>
        <c:axId val="78191232"/>
        <c:axId val="78705024"/>
        <c:axId val="0"/>
      </c:bar3DChart>
      <c:catAx>
        <c:axId val="78191232"/>
        <c:scaling>
          <c:orientation val="minMax"/>
        </c:scaling>
        <c:axPos val="b"/>
        <c:tickLblPos val="nextTo"/>
        <c:crossAx val="78705024"/>
        <c:crosses val="autoZero"/>
        <c:auto val="1"/>
        <c:lblAlgn val="ctr"/>
        <c:lblOffset val="100"/>
      </c:catAx>
      <c:valAx>
        <c:axId val="78705024"/>
        <c:scaling>
          <c:orientation val="minMax"/>
        </c:scaling>
        <c:axPos val="l"/>
        <c:majorGridlines/>
        <c:numFmt formatCode="General" sourceLinked="1"/>
        <c:tickLblPos val="nextTo"/>
        <c:crossAx val="7819123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750"/>
            </a:pPr>
            <a:endParaRPr lang="cs-CZ"/>
          </a:p>
        </c:txPr>
      </c:dTable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roundedCorners val="1"/>
  <c:chart>
    <c:title>
      <c:tx>
        <c:rich>
          <a:bodyPr/>
          <a:lstStyle/>
          <a:p>
            <a:pPr>
              <a:defRPr/>
            </a:pPr>
            <a:r>
              <a:rPr lang="cs-CZ" sz="1400">
                <a:latin typeface="Arial" pitchFamily="34" charset="0"/>
                <a:cs typeface="Arial" pitchFamily="34" charset="0"/>
              </a:rPr>
              <a:t>Počet odeslaných datových vět v měsících</a:t>
            </a:r>
          </a:p>
        </c:rich>
      </c:tx>
    </c:title>
    <c:view3D>
      <c:rAngAx val="1"/>
    </c:view3D>
    <c:floor>
      <c:spPr>
        <a:noFill/>
        <a:ln w="9525">
          <a:noFill/>
        </a:ln>
      </c:spPr>
    </c:floor>
    <c:sideWall>
      <c:spPr>
        <a:noFill/>
        <a:ln>
          <a:solidFill>
            <a:schemeClr val="accent1">
              <a:lumMod val="60000"/>
              <a:lumOff val="40000"/>
            </a:schemeClr>
          </a:solidFill>
        </a:ln>
      </c:spPr>
    </c:sideWall>
    <c:backWall>
      <c:spPr>
        <a:noFill/>
        <a:ln>
          <a:solidFill>
            <a:schemeClr val="accent1">
              <a:lumMod val="60000"/>
              <a:lumOff val="40000"/>
            </a:schemeClr>
          </a:solidFill>
        </a:ln>
      </c:spPr>
    </c:backWall>
    <c:plotArea>
      <c:layout>
        <c:manualLayout>
          <c:layoutTarget val="inner"/>
          <c:xMode val="edge"/>
          <c:yMode val="edge"/>
          <c:x val="8.1739399716454969E-2"/>
          <c:y val="0.19028474638344625"/>
          <c:w val="0.91510409457524278"/>
          <c:h val="0.59650193298487264"/>
        </c:manualLayout>
      </c:layout>
      <c:bar3DChart>
        <c:barDir val="col"/>
        <c:grouping val="clustered"/>
        <c:ser>
          <c:idx val="0"/>
          <c:order val="0"/>
          <c:tx>
            <c:strRef>
              <c:f>List32!$C$36</c:f>
              <c:strCache>
                <c:ptCount val="1"/>
                <c:pt idx="0">
                  <c:v>HZS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List32!$B$37:$B$48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List32!$C$37:$C$48</c:f>
              <c:numCache>
                <c:formatCode>General</c:formatCode>
                <c:ptCount val="12"/>
                <c:pt idx="0">
                  <c:v>290</c:v>
                </c:pt>
                <c:pt idx="1">
                  <c:v>410</c:v>
                </c:pt>
                <c:pt idx="2">
                  <c:v>307</c:v>
                </c:pt>
                <c:pt idx="3">
                  <c:v>274</c:v>
                </c:pt>
                <c:pt idx="4">
                  <c:v>311</c:v>
                </c:pt>
                <c:pt idx="5">
                  <c:v>274</c:v>
                </c:pt>
                <c:pt idx="6">
                  <c:v>423</c:v>
                </c:pt>
                <c:pt idx="7">
                  <c:v>268</c:v>
                </c:pt>
                <c:pt idx="8">
                  <c:v>218</c:v>
                </c:pt>
                <c:pt idx="9">
                  <c:v>280</c:v>
                </c:pt>
                <c:pt idx="10">
                  <c:v>238</c:v>
                </c:pt>
                <c:pt idx="11">
                  <c:v>323</c:v>
                </c:pt>
              </c:numCache>
            </c:numRef>
          </c:val>
        </c:ser>
        <c:ser>
          <c:idx val="1"/>
          <c:order val="1"/>
          <c:tx>
            <c:strRef>
              <c:f>List32!$D$36</c:f>
              <c:strCache>
                <c:ptCount val="1"/>
                <c:pt idx="0">
                  <c:v>ZZS</c:v>
                </c:pt>
              </c:strCache>
            </c:strRef>
          </c:tx>
          <c:spPr>
            <a:solidFill>
              <a:srgbClr val="0070C0"/>
            </a:solidFill>
          </c:spPr>
          <c:cat>
            <c:strRef>
              <c:f>List32!$B$37:$B$48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List32!$D$37:$D$48</c:f>
              <c:numCache>
                <c:formatCode>General</c:formatCode>
                <c:ptCount val="12"/>
                <c:pt idx="0">
                  <c:v>292</c:v>
                </c:pt>
                <c:pt idx="1">
                  <c:v>348</c:v>
                </c:pt>
                <c:pt idx="2">
                  <c:v>361</c:v>
                </c:pt>
                <c:pt idx="3">
                  <c:v>352</c:v>
                </c:pt>
                <c:pt idx="4">
                  <c:v>327</c:v>
                </c:pt>
                <c:pt idx="5">
                  <c:v>319</c:v>
                </c:pt>
                <c:pt idx="6">
                  <c:v>313</c:v>
                </c:pt>
                <c:pt idx="7">
                  <c:v>356</c:v>
                </c:pt>
                <c:pt idx="8">
                  <c:v>297</c:v>
                </c:pt>
                <c:pt idx="9">
                  <c:v>310</c:v>
                </c:pt>
                <c:pt idx="10">
                  <c:v>299</c:v>
                </c:pt>
                <c:pt idx="11">
                  <c:v>367</c:v>
                </c:pt>
              </c:numCache>
            </c:numRef>
          </c:val>
        </c:ser>
        <c:ser>
          <c:idx val="2"/>
          <c:order val="2"/>
          <c:tx>
            <c:strRef>
              <c:f>List32!$E$36</c:f>
              <c:strCache>
                <c:ptCount val="1"/>
                <c:pt idx="0">
                  <c:v>PČR</c:v>
                </c:pt>
              </c:strCache>
            </c:strRef>
          </c:tx>
          <c:spPr>
            <a:solidFill>
              <a:srgbClr val="478642"/>
            </a:solidFill>
          </c:spPr>
          <c:cat>
            <c:strRef>
              <c:f>List32!$B$37:$B$48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List32!$E$37:$E$48</c:f>
              <c:numCache>
                <c:formatCode>General</c:formatCode>
                <c:ptCount val="12"/>
                <c:pt idx="0">
                  <c:v>264</c:v>
                </c:pt>
                <c:pt idx="1">
                  <c:v>298</c:v>
                </c:pt>
                <c:pt idx="2">
                  <c:v>298</c:v>
                </c:pt>
                <c:pt idx="3">
                  <c:v>259</c:v>
                </c:pt>
                <c:pt idx="4">
                  <c:v>313</c:v>
                </c:pt>
                <c:pt idx="5">
                  <c:v>268</c:v>
                </c:pt>
                <c:pt idx="6">
                  <c:v>265</c:v>
                </c:pt>
                <c:pt idx="7">
                  <c:v>292</c:v>
                </c:pt>
                <c:pt idx="8">
                  <c:v>246</c:v>
                </c:pt>
                <c:pt idx="9">
                  <c:v>267</c:v>
                </c:pt>
                <c:pt idx="10">
                  <c:v>221</c:v>
                </c:pt>
                <c:pt idx="11">
                  <c:v>277</c:v>
                </c:pt>
              </c:numCache>
            </c:numRef>
          </c:val>
        </c:ser>
        <c:gapWidth val="73"/>
        <c:gapDepth val="90"/>
        <c:shape val="box"/>
        <c:axId val="79049088"/>
        <c:axId val="79050624"/>
        <c:axId val="0"/>
      </c:bar3DChart>
      <c:catAx>
        <c:axId val="79049088"/>
        <c:scaling>
          <c:orientation val="minMax"/>
        </c:scaling>
        <c:axPos val="b"/>
        <c:tickLblPos val="nextTo"/>
        <c:txPr>
          <a:bodyPr/>
          <a:lstStyle/>
          <a:p>
            <a:pPr>
              <a:defRPr b="1">
                <a:latin typeface="Arial" pitchFamily="34" charset="0"/>
                <a:cs typeface="Arial" pitchFamily="34" charset="0"/>
              </a:defRPr>
            </a:pPr>
            <a:endParaRPr lang="cs-CZ"/>
          </a:p>
        </c:txPr>
        <c:crossAx val="79050624"/>
        <c:crosses val="autoZero"/>
        <c:auto val="1"/>
        <c:lblAlgn val="ctr"/>
        <c:lblOffset val="100"/>
      </c:catAx>
      <c:valAx>
        <c:axId val="79050624"/>
        <c:scaling>
          <c:orientation val="minMax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počet </a:t>
                </a:r>
                <a:r>
                  <a:rPr lang="cs-CZ"/>
                  <a:t>DV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1.3926343784141411E-2"/>
              <c:y val="0.1088340180303549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1000" b="0">
                <a:latin typeface="+mn-lt"/>
                <a:cs typeface="Arial" pitchFamily="34" charset="0"/>
              </a:defRPr>
            </a:pPr>
            <a:endParaRPr lang="cs-CZ"/>
          </a:p>
        </c:txPr>
        <c:crossAx val="79049088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700" b="0">
                <a:latin typeface="+mn-lt"/>
                <a:cs typeface="Arial" pitchFamily="34" charset="0"/>
              </a:defRPr>
            </a:pPr>
            <a:endParaRPr lang="cs-CZ"/>
          </a:p>
        </c:txPr>
      </c:dTable>
    </c:plotArea>
    <c:plotVisOnly val="1"/>
    <c:dispBlanksAs val="gap"/>
  </c:chart>
  <c:spPr>
    <a:ln w="3175">
      <a:solidFill>
        <a:schemeClr val="tx1"/>
      </a:solidFill>
    </a:ln>
    <a:effectLst/>
  </c:spPr>
  <c:externalData r:id="rId1"/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michala.smetanova</dc:creator>
  <cp:lastModifiedBy>Míša</cp:lastModifiedBy>
  <cp:revision>4</cp:revision>
  <dcterms:created xsi:type="dcterms:W3CDTF">2013-02-07T06:07:00Z</dcterms:created>
  <dcterms:modified xsi:type="dcterms:W3CDTF">2013-02-07T06:49:00Z</dcterms:modified>
</cp:coreProperties>
</file>